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福建省司法厅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备案审查专家委员会工作规则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为加强规章、规范性文件备案审查工作，充分发挥专家委员在备案审查中的作用，保障专家委员会各项活动有序开展，结合工作实际，制定本规则。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福建省司法厅负责本规则的组织实施，福建省司法厅规范性文件备案审查处（以下简称“备案审查处”）具体负责工作规则的执行及委员活动的安排、联络服务等。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专家委员会以单数设置，设主任委员1名、副主任委员1至2名、委员若干名。主任委员由省司法厅厅长担任；副主任委员由省司法厅相关分管领导担任。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专家委员会委员从下列人员中选任：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省司法厅相关业务处室或单位负责人；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我省长期从事规范性文件合法性审核和备案审查的正处级以上干部；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国家机关、高等院校、科研机构、律师事务所等单位的权威专业人士。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专家委员会委员人选由备案审查处提名，报副主任委员审核后，由主任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委员审定。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专家委员会委员由省司法厅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聘任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，任期三年，可以连任。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主任委员、副主任委员职务发生变动的，由接任人员自然替补。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专家委员会委员自然为福建省司法厅备案审查专家库专家。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专家委员会委员主要履行以下职责：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听取备案审查年度工作报告及相关情况报告并提出意见和建议；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对全省备案审查工作中的重大问题和制度建设提供指导性意见，不断改进和完善全省备案审查工作；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对备案审查工作所涉及的改革过程中先行先试问题进行研究，为深化改革提供指导意见；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在规章、规范性文件备案审查中有下列情形之一的，可以提请专家委员会审议：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1.疑难、复杂或者存在重大分歧的；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2.涉及重大公共利益的；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3.社会影响较大的。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对备案审查工作理论研究提供指导性意见，对研究成果进行评价并积极推动研究成果转化和应用；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对备案审查专家库建设和管理提供指导性意见；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其他需要提交专家委员会研究会商的事项。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专家委员会通过召开全体会议和审议会议两种形式开展工作。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全体会议主要听取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备案审查年度工作报告及相关情况报告，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研究和会商备案审查工作的重大问题和重大事项。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审议会议主要针对具体事项提供审议意见和建议等。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全体会议每年召开一次。经主任或副主任委员决定，可以根据需要另行组织召开全体会议。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审议会议根据工作需要适时召开。审议会议参加人数一般为单数，由备案审查处根据审议内容和专业确定出席人员。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备案审查处应当根据会议内容，为参会委员留出必要的准备时间，提前将邀请函(会议通知)及相关文件资料发送给参会委员，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为委员提供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必需的工作条件及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相应的工作便利，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确保委员有效工作。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参会委员一般应采用书面形式提交审议意见，并对所提供的审议意见负责。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参会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委员应当对履职过程中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涉及到的国家秘密、工作秘密、商业秘密等严守保密纪律，对各参会委员发表的意见及审议过程、审议结论等予以保密。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备案审查处应当对委员会会议如实进行记录，并形成《会议纪要》，必要时，委员应当按照要求在会议记录上签名。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第十三条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备案审查处对委员提出的意见和建议应当进行整理汇总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，并拟制《会议报告》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呈领导决策参考。决策结果应当告知参会委员。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第十四条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委员提出的意见和建议应当一并归入工作档案予以留存。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404040"/>
          <w:sz w:val="32"/>
          <w:szCs w:val="32"/>
          <w:lang w:eastAsia="zh-CN"/>
        </w:rPr>
        <w:t>第十五条</w:t>
      </w:r>
      <w:r>
        <w:rPr>
          <w:rFonts w:hint="eastAsia" w:ascii="黑体" w:hAnsi="黑体" w:eastAsia="黑体" w:cs="黑体"/>
          <w:b w:val="0"/>
          <w:bCs w:val="0"/>
          <w:i w:val="0"/>
          <w:snapToGrid/>
          <w:color w:val="4040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专家委员会委员有下列情形之一的，由备案审查处核实情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况，提出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免除委员资格的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建议，报主任委员审定：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违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反本规则第十一条规定，造成不良影响或严重后果的；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因身体原因无法胜任工作的；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任期届满不再适宜担任委员的；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其他原因不再适宜担任委员的。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第十六条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专家委员会委员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参与备案审查等相关活动可以按照有关规定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获取劳动报酬；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州市区以外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的委员受邀参与备案审查活动而发生的差旅费，由邀请单位负责报销；委员报酬及差旅费标准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第十七条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本规则自公布之日起执行。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6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6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6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6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6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福建省司法厅备案审查专家库管理办法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为加强规章、规范性文件备案审查工作，规范福建省司法厅备案审查专家库（以下简称“备案审查专家库”）管理，充分发挥专家在备案审查中的作用，提高备案审查质量和效率，结合工作实际，制定本办法。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本办法适用于备案审查专家库专家的选聘、履职和管理等活动。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福建省司法厅负责本办法的组织实施，福建省司法厅规范性文件备案审查处（以下简称“备案审查处”）具体负责备案审查专家库的日常管理，负责组织选聘、开展工作、联络服务等。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备案审查专家库成员主要从国家机关、事业单位、企业、高等院校、科研机构、律师事务所及其他专业领域中进行选聘。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选聘的专家可以是上述单位的离退休人员，但应符合本办法第六条规定，且年龄不得超过70周岁。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选聘专业方向以法学为基础，涉及专业领域主要有：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国家安全和公安方向；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经济制度方向（经济体制、财政、金融、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政府采购、招投标、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国有资产监管等）；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教育和科技方向；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信息和邮政方向（信息产业、通讯、邮政、数字建设、信息安全等）；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民族宗教方向；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管理方向（社会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信用、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民政、人力资源、社会保障等）；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自然资源方向（土地、地质矿产、海洋、测绘等）；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生态与环境保护方向；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城乡建设方向（城市建设、村镇建设、工程建筑、房地产、风景名胜等）；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交通运输方向（公路、水路、铁路、航空等）；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水利电力方向；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农林牧渔方向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（农业、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农村、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林业、畜牧业、渔业、动植物检疫等）；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商务贸易方向（物流、电子商务、国内贸易、对外贸易等）；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文化旅游方向（文化艺术、文物保护、体育、旅游等）；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与健康方向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（十六）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审计和统计方向；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（十七）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应急管理方向（安全生产、消防）；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（十八）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市场监管方向（营商环境、质量监督、物价、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知识产权、食品药品监管等）；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（十九）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海关和进出口检验检疫方向；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（二十）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涉侨、涉台、涉港澳方向；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（二十一）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自贸区、试验区领域；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（二十二）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法学方向（法理、宪法、行政法、经济法、民商法、金融法、国际经济法等）。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以上专业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可根据国家改革发展和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实际工作需要进行补充调整。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备案审查专家库入选专家应当符合以下条件：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具有中华人民共和国国籍；拥护中华人民共和国宪法，拥护中国共产党领导和社会主义制度；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具有良好的职业道德，社会责任感正义感强，业内评价好；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遵纪守法，未受过刑事处罚，未受过司法行政部门的行政处罚或相关行业处分，未被列入失信被执行人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对所从事的专业领域具有较深厚的理论功底或者较丰富的实践经验，热心参与政府法治建设工作，有时间和精力履行职责和任务；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除具备上述选聘标准外，根据所从事的工作领域还应当符合以下条件：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1.在国家机关工作的，应当具有副处以上或四级高级法官、检察官以上职级；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2.在高校、科研部门等事业单位工作的，应当具有副高以上职称或具有同等以上专业水平；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3.在企业工作的，应当具有从事法务工作八年以上工作经历；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4.从事律师工作的，应当具有律师执业证书（含社会律师、公职律师、公司律师），并具有八年以上执业工作经历；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5.所从事的工作领域有其他专业资格要求的，应当具有相关专业资格证书，并具有本科以上学历且从事相关专业领域八年以上工作经历。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备案审查专家库根据公开、公正、竞争择优的原则，由省司法厅公开进行选聘。选聘方式可以单位推荐，也可以自荐。省司法厅根据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拟选聘专家的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学历、履历、专业特长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个人职业操守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在有关专业领域的影响，并考虑年龄结构、专业和行业比例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因素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，确定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入库人选，经公示无异议后生效，公示期为7个工作日。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福建省司法厅备案审查专家委员会委员自然为本专家库专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家，并适用本办法。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备案审查专家库入选专家由省司法厅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统一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颁发聘书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聘期三年。专家库每三年组织一次评选或者更新复核工作，可连选连任。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备案审查专家库实行动态管理，根据工作需要和相关情况可以适时调整专家库成员。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备案审查专家库成员主要履行以下职责：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参与规范性文件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事前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合法性审核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参与规章、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规范性文件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的备案审查工作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参加规章、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规范性文件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备案审查论证会；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参与备案审查案例评选和汇编工作；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参与规范性文件的评估和清理工作；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参加备案审查工作调研和培训；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参与备案审查工作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理论研究和制度建设；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对我省备案审查工作及重大问题提出意见和建议；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需要专家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邀请专家开展工作应当根据实际工作需要和内容，结合专家专业方向及职业身份等进行选定。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其他单位需要邀请备案审查专家库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开展工作的，可以通过省司法厅在备案审查专家库中推选。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第十二条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邀请专家参与备案审查工作，可以采用征询意见、协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u w:val="none"/>
          <w:lang w:val="en-US" w:eastAsia="zh-CN"/>
        </w:rPr>
        <w:t>助审查、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委托、调研、考察、座谈、论证、研讨等多种方式进行。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第十三条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专家应当忠于宪法和法律，发挥专业特长，客观、独立、公正地提出法律意见。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专家应当对所提供的法律意见负责，并在法律意见上署名。通过参加会议或者其他方式提供法律意见的，应当按照要求在会议记录或文件材料上签名。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第十四条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备案审查处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对专家参与工作情况、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专家意见和建议以及采纳情况等进行记录，并予以分析研究；对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有价值的合理化建议及时提供相关部门决策参考。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对专家参与形成的研究成果应形成专题报告，积极推动研究成果转化，为我省法治建设提供参考。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第十五条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备案审查处应当对经专家协助审查的规章和规范性文件进行复核，说明采纳或者不予采纳的理由，呈厅领导审定；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的意见作为附件随文呈报，供领导决策时参考。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第十六条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专家参与备案审查工作的记录、资料以及专家提出的意见和建议等，应当一并归入工作档案予以留存。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第十七条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专家在履行职责过程中，享有以下权利：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依据事实和法律，独立自主地提出意见和建议；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获得与履行职责相关的信息资料、文件和其他必需的工作条件；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对本人提出的意见和建议的采纳情况有知情权；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对本人参与事项的决策结果有知情权；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16" w:leftChars="20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对备案审查工作或有关事项有建议权；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有获取约定的工作报酬和待遇的权利；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与聘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单位约定的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其他权利。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第十八条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专家在履行职责过程中，应当遵守以下规定：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忠于宪法和法律，严守政治纪律和组织纪律，遵守职业道德和社会公德；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对履职过程中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涉及的国家秘密、工作秘密、商业秘密等严守保密纪律，对尚未确定公开的信息不得擅自向外界披露；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遵守回避制度，专家所参与的工作与本人有利害关系或者可能影响公正履行职责的，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主动告知并申请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回避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按时保质完成工作任务，如因特殊原因无法及时完成任务的，应提前说明原因并采取相应补救措施；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不得从事有损聘任单位利益、形象的活动；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约定的其他义务。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第十九条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>家在聘用期间出现下列情形之一的，可以</w:t>
      </w:r>
      <w:r>
        <w:rPr>
          <w:rFonts w:hint="eastAsia" w:ascii="仿宋_GB2312" w:hAnsi="仿宋_GB2312" w:cs="仿宋_GB2312"/>
          <w:b w:val="0"/>
          <w:bCs w:val="0"/>
          <w:spacing w:val="-17"/>
          <w:sz w:val="32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>解聘：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主动提出辞呈的；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因身体或者其他原因无法胜任工作的；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  <w:lang w:val="en-US" w:eastAsia="zh-CN"/>
        </w:rPr>
        <w:t>正当理由拒绝参加或连续两次</w:t>
      </w:r>
      <w:r>
        <w:rPr>
          <w:rFonts w:hint="eastAsia" w:ascii="仿宋_GB2312" w:hAnsi="仿宋_GB2312" w:cs="仿宋_GB2312"/>
          <w:b w:val="0"/>
          <w:bCs w:val="0"/>
          <w:spacing w:val="-23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</w:rPr>
        <w:t>无故缺席</w:t>
      </w: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  <w:lang w:eastAsia="zh-CN"/>
        </w:rPr>
        <w:t>专家活动的；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无特殊原因不能按时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完成工作任务两次以上的；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有违法违纪行为或者损害党和政府、聘任单位形象的；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因其他原因，不再适合继续担任的。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专家的解聘由备案审查处核实情况并提出建议，报省司法厅决定。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第二十条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参与备案审查等相关活动可以按照有关规定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获取劳动报酬；福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州市区以外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的专家受邀参与备案审查活动而发生的差旅费，由邀请单位负责报销；专家报酬及差旅费标准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第二十一条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备案审查处负责专家库的管理及联络：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建立备案审查电子专家库档案，包括：专家姓名、工作单位、联系方式、专业方向、履职情况、意见提出及采纳情况等，实行信息化动态化管理；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加强与专家的沟通联系，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适时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向在库专家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推送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备案审查工作情况、工作信息、专家活动情况等，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分享案例及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其他有关资料，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促进相互交流，加强相互合作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每年组织召开专家座谈会，听取专家参与备案审查工作的意见和建议；对专家参与履职情况予以记录和评价，评价结果作为进一步续聘专家的重要依据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积极探索多种合作和激励方式，鼓励专家积极参与备案审查理论研究、机制创新、制度建设等，不断拓展专家参与的广度和深度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第二十二条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本办法自公布之日起施行。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14951"/>
    <w:rsid w:val="66E1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ody Text Indent"/>
    <w:basedOn w:val="1"/>
    <w:uiPriority w:val="0"/>
    <w:pPr>
      <w:spacing w:after="120"/>
      <w:ind w:left="200" w:leftChars="200"/>
    </w:pPr>
  </w:style>
  <w:style w:type="paragraph" w:styleId="4">
    <w:name w:val="Body Text First Indent 2"/>
    <w:basedOn w:val="3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2022-05-30T07:35:00Z</dcterms:created>
  <dc:creator>Administrator</dc:creator>
  <cp:lastModifiedBy>Administrator</cp:lastModifiedBy>
  <dcterms:modified xsi:type="dcterms:W3CDTF">2022-05-30T07:36:31Z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