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ascii="楷体" w:hAnsi="楷体" w:eastAsia="楷体" w:cs="楷体"/>
          <w:color w:val="auto"/>
          <w:spacing w:val="0"/>
          <w:sz w:val="32"/>
          <w:szCs w:val="32"/>
        </w:rPr>
      </w:pPr>
      <w:r>
        <w:rPr>
          <w:rFonts w:hint="eastAsia" w:ascii="楷体" w:hAnsi="楷体" w:eastAsia="楷体" w:cs="楷体"/>
          <w:color w:val="auto"/>
          <w:spacing w:val="0"/>
          <w:sz w:val="32"/>
          <w:szCs w:val="32"/>
          <w:lang w:eastAsia="zh-CN"/>
        </w:rPr>
        <w:t>注：</w:t>
      </w:r>
      <w:r>
        <w:rPr>
          <w:rFonts w:hint="eastAsia" w:ascii="楷体" w:hAnsi="楷体" w:eastAsia="楷体" w:cs="楷体"/>
          <w:color w:val="auto"/>
          <w:spacing w:val="0"/>
          <w:sz w:val="32"/>
          <w:szCs w:val="32"/>
        </w:rPr>
        <w:t>黑体字表示</w:t>
      </w:r>
      <w:r>
        <w:rPr>
          <w:rFonts w:hint="eastAsia" w:ascii="楷体" w:hAnsi="楷体" w:eastAsia="楷体" w:cs="楷体"/>
          <w:color w:val="auto"/>
          <w:spacing w:val="0"/>
          <w:sz w:val="32"/>
          <w:szCs w:val="32"/>
          <w:lang w:eastAsia="zh-CN"/>
        </w:rPr>
        <w:t>拟</w:t>
      </w:r>
      <w:r>
        <w:rPr>
          <w:rFonts w:hint="eastAsia" w:ascii="楷体" w:hAnsi="楷体" w:eastAsia="楷体" w:cs="楷体"/>
          <w:color w:val="auto"/>
          <w:spacing w:val="0"/>
          <w:sz w:val="32"/>
          <w:szCs w:val="32"/>
        </w:rPr>
        <w:t>增加</w:t>
      </w:r>
      <w:r>
        <w:rPr>
          <w:rFonts w:hint="eastAsia" w:ascii="楷体" w:hAnsi="楷体" w:eastAsia="楷体" w:cs="楷体"/>
          <w:color w:val="auto"/>
          <w:spacing w:val="0"/>
          <w:sz w:val="32"/>
          <w:szCs w:val="32"/>
          <w:lang w:eastAsia="zh-CN"/>
        </w:rPr>
        <w:t>内容</w:t>
      </w:r>
    </w:p>
    <w:p>
      <w:pPr>
        <w:spacing w:line="560" w:lineRule="exact"/>
        <w:jc w:val="right"/>
        <w:rPr>
          <w:rFonts w:hint="eastAsia" w:ascii="楷体" w:hAnsi="楷体" w:eastAsia="楷体" w:cs="楷体"/>
          <w:color w:val="auto"/>
          <w:spacing w:val="0"/>
          <w:sz w:val="32"/>
          <w:szCs w:val="32"/>
          <w:lang w:eastAsia="zh-CN"/>
        </w:rPr>
      </w:pPr>
      <w:r>
        <w:rPr>
          <w:rFonts w:hint="eastAsia" w:ascii="楷体" w:hAnsi="楷体" w:eastAsia="楷体" w:cs="楷体"/>
          <w:color w:val="auto"/>
          <w:spacing w:val="0"/>
          <w:sz w:val="32"/>
          <w:szCs w:val="32"/>
        </w:rPr>
        <w:t>【</w:t>
      </w:r>
      <w:r>
        <w:rPr>
          <w:rFonts w:hint="eastAsia" w:ascii="楷体" w:hAnsi="楷体" w:eastAsia="楷体" w:cs="楷体"/>
          <w:color w:val="auto"/>
          <w:spacing w:val="0"/>
          <w:sz w:val="32"/>
          <w:szCs w:val="32"/>
          <w:shd w:val="clear" w:color="FFFFFF" w:fill="D9D9D9"/>
        </w:rPr>
        <w:t xml:space="preserve">  </w:t>
      </w:r>
      <w:r>
        <w:rPr>
          <w:rFonts w:hint="eastAsia" w:ascii="楷体" w:hAnsi="楷体" w:eastAsia="楷体" w:cs="楷体"/>
          <w:color w:val="auto"/>
          <w:spacing w:val="0"/>
          <w:sz w:val="32"/>
          <w:szCs w:val="32"/>
        </w:rPr>
        <w:t>】表示删除</w:t>
      </w:r>
      <w:r>
        <w:rPr>
          <w:rFonts w:hint="eastAsia" w:ascii="楷体" w:hAnsi="楷体" w:eastAsia="楷体" w:cs="楷体"/>
          <w:color w:val="auto"/>
          <w:spacing w:val="0"/>
          <w:sz w:val="32"/>
          <w:szCs w:val="32"/>
          <w:lang w:eastAsia="zh-CN"/>
        </w:rPr>
        <w:t>的内容</w:t>
      </w:r>
    </w:p>
    <w:p>
      <w:pPr>
        <w:pStyle w:val="2"/>
        <w:keepNext w:val="0"/>
        <w:keepLines w:val="0"/>
        <w:pageBreakBefore w:val="0"/>
        <w:widowControl w:val="0"/>
        <w:kinsoku/>
        <w:wordWrap/>
        <w:overflowPunct/>
        <w:topLinePunct w:val="0"/>
        <w:autoSpaceDE/>
        <w:autoSpaceDN/>
        <w:bidi w:val="0"/>
        <w:adjustRightInd/>
        <w:snapToGrid/>
        <w:spacing w:after="120" w:line="360" w:lineRule="auto"/>
        <w:ind w:left="0" w:leftChars="0" w:right="0" w:rightChars="0" w:firstLine="0" w:firstLineChars="0"/>
        <w:jc w:val="both"/>
        <w:textAlignment w:val="auto"/>
        <w:outlineLvl w:val="9"/>
        <w:rPr>
          <w:rFonts w:hint="eastAsia"/>
          <w:lang w:eastAsia="zh-CN"/>
        </w:rPr>
      </w:pPr>
    </w:p>
    <w:p>
      <w:pPr>
        <w:bidi w:val="0"/>
        <w:jc w:val="center"/>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eastAsia="zh-CN"/>
        </w:rPr>
        <w:t>《</w:t>
      </w:r>
      <w:r>
        <w:rPr>
          <w:rFonts w:hint="eastAsia" w:ascii="方正小标宋_GBK" w:hAnsi="方正小标宋_GBK" w:eastAsia="方正小标宋_GBK" w:cs="方正小标宋_GBK"/>
          <w:color w:val="auto"/>
          <w:sz w:val="44"/>
          <w:szCs w:val="44"/>
          <w:lang w:val="en-US" w:eastAsia="zh-CN"/>
        </w:rPr>
        <w:t>中国（福建）自由贸易试验区相对集中</w:t>
      </w:r>
    </w:p>
    <w:p>
      <w:pPr>
        <w:bidi w:val="0"/>
        <w:jc w:val="center"/>
        <w:rPr>
          <w:rFonts w:hint="eastAsia" w:ascii="方正小标宋_GBK" w:hAnsi="方正小标宋_GBK" w:eastAsia="方正小标宋_GBK" w:cs="方正小标宋_GBK"/>
          <w:i w:val="0"/>
          <w:caps w:val="0"/>
          <w:color w:val="auto"/>
          <w:spacing w:val="0"/>
          <w:sz w:val="44"/>
          <w:szCs w:val="44"/>
          <w:shd w:val="clear" w:color="auto" w:fill="FFFFFF"/>
          <w:lang w:val="en-US" w:eastAsia="zh-CN"/>
        </w:rPr>
      </w:pPr>
      <w:r>
        <w:rPr>
          <w:rFonts w:hint="eastAsia" w:ascii="方正小标宋_GBK" w:hAnsi="方正小标宋_GBK" w:eastAsia="方正小标宋_GBK" w:cs="方正小标宋_GBK"/>
          <w:color w:val="auto"/>
          <w:sz w:val="44"/>
          <w:szCs w:val="44"/>
          <w:lang w:val="en-US" w:eastAsia="zh-CN"/>
        </w:rPr>
        <w:t>行政复议权实施办法</w:t>
      </w:r>
      <w:r>
        <w:rPr>
          <w:rFonts w:hint="eastAsia" w:ascii="方正小标宋_GBK" w:hAnsi="方正小标宋_GBK" w:eastAsia="方正小标宋_GBK" w:cs="方正小标宋_GBK"/>
          <w:color w:val="auto"/>
          <w:sz w:val="44"/>
          <w:szCs w:val="44"/>
          <w:lang w:eastAsia="zh-CN"/>
        </w:rPr>
        <w:t>》修改对照稿</w:t>
      </w:r>
    </w:p>
    <w:p>
      <w:pPr>
        <w:pStyle w:val="6"/>
        <w:bidi w:val="0"/>
        <w:ind w:left="0" w:leftChars="0" w:firstLine="0" w:firstLineChars="0"/>
        <w:rPr>
          <w:rFonts w:hint="eastAsia" w:ascii="宋体" w:hAnsi="宋体" w:eastAsia="宋体" w:cs="宋体"/>
          <w:i w:val="0"/>
          <w:caps w:val="0"/>
          <w:color w:val="auto"/>
          <w:spacing w:val="0"/>
          <w:sz w:val="36"/>
          <w:szCs w:val="36"/>
          <w:shd w:val="clear" w:color="auto" w:fill="FFFFFF"/>
          <w:lang w:val="en-US" w:eastAsia="zh-CN"/>
        </w:rPr>
      </w:pPr>
      <w:r>
        <w:rPr>
          <w:rFonts w:hint="eastAsia"/>
          <w:color w:val="auto"/>
          <w:lang w:val="en-US" w:eastAsia="zh-CN"/>
        </w:rPr>
        <w:t>（2015年4月20日福建省人民政府令第161号公布  自公布之日起施行）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pStyle w:val="7"/>
        <w:bidi w:val="0"/>
        <w:rPr>
          <w:rFonts w:hint="eastAsia"/>
          <w:color w:val="auto"/>
          <w:lang w:val="en-US" w:eastAsia="zh-CN"/>
        </w:rPr>
      </w:pPr>
      <w:r>
        <w:rPr>
          <w:rStyle w:val="8"/>
          <w:rFonts w:hint="eastAsia"/>
          <w:color w:val="auto"/>
          <w:lang w:val="en-US" w:eastAsia="zh-CN"/>
        </w:rPr>
        <w:t>第一条</w:t>
      </w:r>
      <w:r>
        <w:rPr>
          <w:rFonts w:hint="eastAsia" w:ascii="楷体_GB2312" w:hAnsi="楷体_GB2312" w:eastAsia="楷体_GB2312" w:cs="楷体_GB2312"/>
          <w:i w:val="0"/>
          <w:caps w:val="0"/>
          <w:color w:val="auto"/>
          <w:spacing w:val="0"/>
          <w:sz w:val="32"/>
          <w:szCs w:val="32"/>
          <w:shd w:val="clear" w:color="auto" w:fill="FFFFFF"/>
          <w:lang w:val="en-US" w:eastAsia="zh-CN"/>
        </w:rPr>
        <w:t xml:space="preserve">  </w:t>
      </w:r>
      <w:r>
        <w:rPr>
          <w:rFonts w:hint="eastAsia"/>
          <w:color w:val="auto"/>
          <w:lang w:val="en-US" w:eastAsia="zh-CN"/>
        </w:rPr>
        <w:t>为及时、公正办理中国（福建）自由贸易试验区（以下简称自贸试验区）行政复议案件，规范自贸试验区内相对集中行政复议权的实施，根据《中华人民共和国行政复议法》《中华人民共和国行政复议法实施条例》以及《中国（福建）自由贸易试验区总体方案》等规定，结合本省实际，制定本办法。</w:t>
      </w:r>
    </w:p>
    <w:p>
      <w:pPr>
        <w:pStyle w:val="7"/>
        <w:bidi w:val="0"/>
        <w:rPr>
          <w:rFonts w:hint="eastAsia"/>
          <w:color w:val="auto"/>
          <w:lang w:val="en-US" w:eastAsia="zh-CN"/>
        </w:rPr>
      </w:pPr>
      <w:r>
        <w:rPr>
          <w:rStyle w:val="8"/>
          <w:rFonts w:hint="eastAsia"/>
          <w:color w:val="auto"/>
          <w:lang w:val="en-US" w:eastAsia="zh-CN"/>
        </w:rPr>
        <w:t>第二条</w:t>
      </w:r>
      <w:r>
        <w:rPr>
          <w:rFonts w:hint="eastAsia" w:ascii="楷体_GB2312" w:hAnsi="楷体_GB2312" w:eastAsia="楷体_GB2312" w:cs="楷体_GB2312"/>
          <w:i w:val="0"/>
          <w:caps w:val="0"/>
          <w:color w:val="auto"/>
          <w:spacing w:val="0"/>
          <w:sz w:val="32"/>
          <w:szCs w:val="32"/>
          <w:shd w:val="clear" w:color="auto" w:fill="FFFFFF"/>
          <w:lang w:val="en-US" w:eastAsia="zh-CN"/>
        </w:rPr>
        <w:t xml:space="preserve">  </w:t>
      </w:r>
      <w:r>
        <w:rPr>
          <w:rFonts w:hint="eastAsia"/>
          <w:color w:val="auto"/>
          <w:lang w:val="en-US" w:eastAsia="zh-CN"/>
        </w:rPr>
        <w:t>公民、法人或者其他组织对中国（福建）自由贸易试验区平潭、厦门、福州片区管理委员会（以下简称片区管理委员会）及下设的职能部门实施的具体行政行为不服申请行政复议，行政复议机关依法处理的相关活动，适用本办法。</w:t>
      </w:r>
    </w:p>
    <w:p>
      <w:pPr>
        <w:pStyle w:val="7"/>
        <w:bidi w:val="0"/>
        <w:rPr>
          <w:rFonts w:hint="eastAsia"/>
          <w:color w:val="auto"/>
          <w:lang w:val="en-US" w:eastAsia="zh-CN"/>
        </w:rPr>
      </w:pPr>
      <w:r>
        <w:rPr>
          <w:rFonts w:hint="eastAsia"/>
          <w:color w:val="auto"/>
          <w:lang w:val="en-US" w:eastAsia="zh-CN"/>
        </w:rPr>
        <w:t>境外投资者对片区管理委员会及下设的职能部门实施的具体行政行为不服申请行政复议的，适用本办法。</w:t>
      </w:r>
    </w:p>
    <w:p>
      <w:pPr>
        <w:pStyle w:val="7"/>
        <w:bidi w:val="0"/>
        <w:rPr>
          <w:rFonts w:hint="eastAsia"/>
          <w:color w:val="auto"/>
          <w:lang w:val="en-US" w:eastAsia="zh-CN"/>
        </w:rPr>
      </w:pPr>
      <w:r>
        <w:rPr>
          <w:rStyle w:val="8"/>
          <w:rFonts w:hint="eastAsia"/>
          <w:color w:val="auto"/>
          <w:lang w:val="en-US" w:eastAsia="zh-CN"/>
        </w:rPr>
        <w:t>第三条</w:t>
      </w:r>
      <w:r>
        <w:rPr>
          <w:rFonts w:hint="eastAsia" w:ascii="楷体_GB2312" w:hAnsi="楷体_GB2312" w:eastAsia="楷体_GB2312" w:cs="楷体_GB2312"/>
          <w:i w:val="0"/>
          <w:caps w:val="0"/>
          <w:color w:val="auto"/>
          <w:spacing w:val="0"/>
          <w:sz w:val="32"/>
          <w:szCs w:val="32"/>
          <w:shd w:val="clear" w:color="auto" w:fill="FFFFFF"/>
          <w:lang w:val="en-US" w:eastAsia="zh-CN"/>
        </w:rPr>
        <w:t xml:space="preserve">  </w:t>
      </w:r>
      <w:r>
        <w:rPr>
          <w:rFonts w:hint="eastAsia"/>
          <w:color w:val="auto"/>
          <w:lang w:val="en-US" w:eastAsia="zh-CN"/>
        </w:rPr>
        <w:t>对自贸试验区行政复议案件，除涉及海关、金融</w:t>
      </w:r>
      <w:r>
        <w:rPr>
          <w:rFonts w:hint="default"/>
          <w:color w:val="auto"/>
          <w:lang w:eastAsia="zh-CN"/>
        </w:rPr>
        <w:t>、</w:t>
      </w:r>
      <w:r>
        <w:rPr>
          <w:rFonts w:hint="eastAsia"/>
          <w:color w:val="auto"/>
          <w:lang w:val="en-US" w:eastAsia="zh-CN"/>
        </w:rPr>
        <w:t>国税、外汇管理等实行国家垂直领导的行政机关和国家安全机关外，由片区管理委员会根据各自职责分工，统一行使行政复议权。</w:t>
      </w:r>
    </w:p>
    <w:p>
      <w:pPr>
        <w:pStyle w:val="7"/>
        <w:bidi w:val="0"/>
        <w:rPr>
          <w:rFonts w:hint="eastAsia"/>
          <w:color w:val="auto"/>
          <w:lang w:val="en-US" w:eastAsia="zh-CN"/>
        </w:rPr>
      </w:pPr>
      <w:r>
        <w:rPr>
          <w:rFonts w:hint="eastAsia"/>
          <w:color w:val="auto"/>
          <w:lang w:val="en-US" w:eastAsia="zh-CN"/>
        </w:rPr>
        <w:t>对于自贸试验区行政复议案件，统一行使行政复议权的复议机关不得委托其他行政机关行使行政复议权。</w:t>
      </w:r>
    </w:p>
    <w:p>
      <w:pPr>
        <w:pStyle w:val="7"/>
        <w:bidi w:val="0"/>
        <w:rPr>
          <w:rFonts w:hint="eastAsia"/>
          <w:color w:val="auto"/>
          <w:lang w:val="en-US" w:eastAsia="zh-CN"/>
        </w:rPr>
      </w:pPr>
      <w:r>
        <w:rPr>
          <w:rStyle w:val="8"/>
          <w:rFonts w:hint="eastAsia"/>
          <w:color w:val="auto"/>
          <w:lang w:val="en-US" w:eastAsia="zh-CN"/>
        </w:rPr>
        <w:t>第四条</w:t>
      </w:r>
      <w:r>
        <w:rPr>
          <w:rFonts w:hint="eastAsia"/>
          <w:color w:val="auto"/>
          <w:lang w:val="en-US" w:eastAsia="zh-CN"/>
        </w:rPr>
        <w:t xml:space="preserve">  省人民政府应当加强对自贸试验区相对集中行政复议权工作的领导。</w:t>
      </w:r>
    </w:p>
    <w:p>
      <w:pPr>
        <w:pStyle w:val="7"/>
        <w:bidi w:val="0"/>
        <w:rPr>
          <w:rFonts w:hint="eastAsia"/>
          <w:color w:val="auto"/>
          <w:lang w:val="en-US" w:eastAsia="zh-CN"/>
        </w:rPr>
      </w:pPr>
      <w:r>
        <w:rPr>
          <w:rFonts w:hint="eastAsia"/>
          <w:color w:val="auto"/>
          <w:lang w:val="en-US" w:eastAsia="zh-CN"/>
        </w:rPr>
        <w:t>厦门、福州市人民政府应当分别对自贸试验区厦门、福州片区相对集中行政复议权工作加强领导，并加强对案件集中受理和审理的协调与监督。</w:t>
      </w:r>
    </w:p>
    <w:p>
      <w:pPr>
        <w:pStyle w:val="7"/>
        <w:bidi w:val="0"/>
        <w:rPr>
          <w:rFonts w:hint="eastAsia"/>
          <w:color w:val="auto"/>
          <w:lang w:val="en-US" w:eastAsia="zh-CN"/>
        </w:rPr>
      </w:pPr>
      <w:r>
        <w:rPr>
          <w:rFonts w:hint="eastAsia"/>
          <w:color w:val="auto"/>
          <w:lang w:val="en-US" w:eastAsia="zh-CN"/>
        </w:rPr>
        <w:t>省人民政府法制工作机构具体承担相关推进实施和指导工作。</w:t>
      </w:r>
    </w:p>
    <w:p>
      <w:pPr>
        <w:pStyle w:val="7"/>
        <w:bidi w:val="0"/>
        <w:rPr>
          <w:rFonts w:hint="eastAsia"/>
          <w:color w:val="auto"/>
          <w:lang w:val="en-US" w:eastAsia="zh-CN"/>
        </w:rPr>
      </w:pPr>
      <w:r>
        <w:rPr>
          <w:rStyle w:val="8"/>
          <w:rFonts w:hint="eastAsia"/>
          <w:color w:val="auto"/>
          <w:lang w:val="en-US" w:eastAsia="zh-CN"/>
        </w:rPr>
        <w:t>第五条</w:t>
      </w:r>
      <w:r>
        <w:rPr>
          <w:rFonts w:hint="eastAsia"/>
          <w:color w:val="auto"/>
          <w:lang w:val="en-US" w:eastAsia="zh-CN"/>
        </w:rPr>
        <w:t xml:space="preserve">  公民、法人或者其他组织对片区管理委员会下设的职能部门作出的具体行政行为不服申请行政复议的，分别由片区管理委员会统一行使受理、审理和作出行政复议决定的职权。</w:t>
      </w:r>
    </w:p>
    <w:p>
      <w:pPr>
        <w:pStyle w:val="7"/>
        <w:bidi w:val="0"/>
        <w:rPr>
          <w:rFonts w:hint="eastAsia"/>
          <w:color w:val="auto"/>
          <w:lang w:val="en-US" w:eastAsia="zh-CN"/>
        </w:rPr>
      </w:pPr>
      <w:r>
        <w:rPr>
          <w:rFonts w:hint="eastAsia"/>
          <w:color w:val="auto"/>
          <w:lang w:val="en-US" w:eastAsia="zh-CN"/>
        </w:rPr>
        <w:t>省人民政府、厦门、福州市人民政府相关职能部门不再履行对自贸试验区行政复议案件的管辖权。</w:t>
      </w:r>
    </w:p>
    <w:p>
      <w:pPr>
        <w:pStyle w:val="7"/>
        <w:bidi w:val="0"/>
        <w:rPr>
          <w:rFonts w:hint="eastAsia"/>
          <w:color w:val="auto"/>
          <w:lang w:val="en-US" w:eastAsia="zh-CN"/>
        </w:rPr>
      </w:pPr>
      <w:r>
        <w:rPr>
          <w:rStyle w:val="8"/>
          <w:rFonts w:hint="eastAsia"/>
          <w:color w:val="auto"/>
          <w:lang w:val="en-US" w:eastAsia="zh-CN"/>
        </w:rPr>
        <w:t>第六条</w:t>
      </w:r>
      <w:r>
        <w:rPr>
          <w:rFonts w:hint="eastAsia"/>
          <w:color w:val="auto"/>
          <w:lang w:val="en-US" w:eastAsia="zh-CN"/>
        </w:rPr>
        <w:t xml:space="preserve">  公民、法人或者其他组织对平潭片区管理委员会作出的具体行政行为不服申请行政复议的，由省人民政府行使受理、审理和作出行政复议决定的职权。</w:t>
      </w:r>
    </w:p>
    <w:p>
      <w:pPr>
        <w:pStyle w:val="7"/>
        <w:bidi w:val="0"/>
        <w:rPr>
          <w:rFonts w:hint="eastAsia"/>
          <w:color w:val="auto"/>
          <w:lang w:val="en-US" w:eastAsia="zh-CN"/>
        </w:rPr>
      </w:pPr>
      <w:r>
        <w:rPr>
          <w:rFonts w:hint="eastAsia"/>
          <w:color w:val="auto"/>
          <w:lang w:val="en-US" w:eastAsia="zh-CN"/>
        </w:rPr>
        <w:t>公民、法人或者其他组织对厦门、福州片区管理委员会作出的具体行政行为不服申请行政复议的，分别由厦门、福州市人民政府行使受理、审理和作出行政复议决定的职权。</w:t>
      </w:r>
    </w:p>
    <w:p>
      <w:pPr>
        <w:pStyle w:val="7"/>
        <w:bidi w:val="0"/>
        <w:rPr>
          <w:rFonts w:hint="eastAsia"/>
          <w:color w:val="auto"/>
          <w:lang w:val="en-US" w:eastAsia="zh-CN"/>
        </w:rPr>
      </w:pPr>
      <w:r>
        <w:rPr>
          <w:rStyle w:val="8"/>
          <w:rFonts w:hint="eastAsia"/>
          <w:color w:val="auto"/>
          <w:lang w:val="en-US" w:eastAsia="zh-CN"/>
        </w:rPr>
        <w:t>第七条</w:t>
      </w:r>
      <w:r>
        <w:rPr>
          <w:rFonts w:hint="eastAsia"/>
          <w:color w:val="auto"/>
          <w:lang w:val="en-US" w:eastAsia="zh-CN"/>
        </w:rPr>
        <w:t xml:space="preserve">  本办法第五条所规定的行政机关作出具体行政行为时，可能对公民、法人或者其他组织的权利、义务产生不利影响的，应当告知其可以向片区管理委员会申请行政复议的权利和行政复议申请期限。</w:t>
      </w:r>
    </w:p>
    <w:p>
      <w:pPr>
        <w:pStyle w:val="7"/>
        <w:bidi w:val="0"/>
        <w:rPr>
          <w:rFonts w:hint="eastAsia"/>
          <w:color w:val="auto"/>
          <w:lang w:val="en-US" w:eastAsia="zh-CN"/>
        </w:rPr>
      </w:pPr>
      <w:r>
        <w:rPr>
          <w:rFonts w:hint="eastAsia"/>
          <w:color w:val="auto"/>
          <w:lang w:val="en-US" w:eastAsia="zh-CN"/>
        </w:rPr>
        <w:t>本办法第六条所规定的平潭片区管理委员会作出具体行政行为时，可能对公民、法人或者其他组织的权利、义务产生不利影响的，应当告知其可以向省人民政府申请行政复议的权利和行政复议申请期限。</w:t>
      </w:r>
    </w:p>
    <w:p>
      <w:pPr>
        <w:pStyle w:val="7"/>
        <w:bidi w:val="0"/>
        <w:rPr>
          <w:rFonts w:hint="eastAsia"/>
          <w:color w:val="auto"/>
          <w:lang w:val="en-US" w:eastAsia="zh-CN"/>
        </w:rPr>
      </w:pPr>
      <w:r>
        <w:rPr>
          <w:rFonts w:hint="eastAsia"/>
          <w:color w:val="auto"/>
          <w:lang w:val="en-US" w:eastAsia="zh-CN"/>
        </w:rPr>
        <w:t>本办法第六条所规定的厦门、福州片区管理委员会作出具体行政行为时，可能对公民、法人或者其他组织的权利、义务产生不利影响的，应当分别告知其可以向厦门、福州市人民政府申请行政复议的权利和行政复议申请期限。</w:t>
      </w:r>
    </w:p>
    <w:p>
      <w:pPr>
        <w:pStyle w:val="7"/>
        <w:bidi w:val="0"/>
        <w:rPr>
          <w:rFonts w:hint="eastAsia"/>
          <w:color w:val="auto"/>
          <w:lang w:val="en-US" w:eastAsia="zh-CN"/>
        </w:rPr>
      </w:pPr>
      <w:r>
        <w:rPr>
          <w:rStyle w:val="8"/>
          <w:rFonts w:hint="eastAsia"/>
          <w:color w:val="auto"/>
          <w:lang w:val="en-US" w:eastAsia="zh-CN"/>
        </w:rPr>
        <w:t>第八条</w:t>
      </w:r>
      <w:r>
        <w:rPr>
          <w:rFonts w:hint="eastAsia"/>
          <w:color w:val="auto"/>
          <w:lang w:val="en-US" w:eastAsia="zh-CN"/>
        </w:rPr>
        <w:t xml:space="preserve">  属于相对集中行政复议权范围的行政复议案件， 申请人可以向片区管理委员会申请行政复议。</w:t>
      </w:r>
    </w:p>
    <w:p>
      <w:pPr>
        <w:pStyle w:val="7"/>
        <w:bidi w:val="0"/>
        <w:rPr>
          <w:rFonts w:hint="eastAsia"/>
          <w:color w:val="auto"/>
          <w:lang w:val="en-US" w:eastAsia="zh-CN"/>
        </w:rPr>
      </w:pPr>
      <w:r>
        <w:rPr>
          <w:rStyle w:val="8"/>
          <w:rFonts w:hint="eastAsia"/>
          <w:color w:val="auto"/>
          <w:lang w:val="en-US" w:eastAsia="zh-CN"/>
        </w:rPr>
        <w:t>第九条</w:t>
      </w:r>
      <w:r>
        <w:rPr>
          <w:rFonts w:hint="eastAsia"/>
          <w:color w:val="auto"/>
          <w:lang w:val="en-US" w:eastAsia="zh-CN"/>
        </w:rPr>
        <w:t xml:space="preserve">  片区管理委员会受理的行政复议案件，由其法制工作机构负责审查。</w:t>
      </w:r>
    </w:p>
    <w:p>
      <w:pPr>
        <w:pStyle w:val="7"/>
        <w:bidi w:val="0"/>
        <w:rPr>
          <w:rFonts w:hint="eastAsia"/>
          <w:color w:val="auto"/>
          <w:lang w:val="en-US" w:eastAsia="zh-CN"/>
        </w:rPr>
      </w:pPr>
      <w:r>
        <w:rPr>
          <w:rStyle w:val="8"/>
          <w:rFonts w:hint="eastAsia"/>
          <w:color w:val="auto"/>
          <w:lang w:val="en-US" w:eastAsia="zh-CN"/>
        </w:rPr>
        <w:t>第十条</w:t>
      </w:r>
      <w:r>
        <w:rPr>
          <w:rFonts w:hint="eastAsia"/>
          <w:color w:val="auto"/>
          <w:lang w:val="en-US" w:eastAsia="zh-CN"/>
        </w:rPr>
        <w:t xml:space="preserve">  片区管理委员会受理的行政复议案件，由其法制工作机构审查后提出处理意见，报请片区管理委员会作出行政复议决定。</w:t>
      </w:r>
    </w:p>
    <w:p>
      <w:pPr>
        <w:pStyle w:val="7"/>
        <w:bidi w:val="0"/>
        <w:rPr>
          <w:rFonts w:hint="eastAsia"/>
          <w:color w:val="auto"/>
          <w:lang w:val="en-US" w:eastAsia="zh-CN"/>
        </w:rPr>
      </w:pPr>
      <w:r>
        <w:rPr>
          <w:rStyle w:val="8"/>
          <w:rFonts w:hint="eastAsia"/>
          <w:color w:val="auto"/>
          <w:lang w:val="en-US" w:eastAsia="zh-CN"/>
        </w:rPr>
        <w:t>第十一条</w:t>
      </w:r>
      <w:r>
        <w:rPr>
          <w:rFonts w:hint="eastAsia"/>
          <w:color w:val="auto"/>
          <w:lang w:val="en-US" w:eastAsia="zh-CN"/>
        </w:rPr>
        <w:t xml:space="preserve">  片区管理委员会应当认真履行行政复议职责，建立健全相对集中行政复议权的工作制度，配备、充实专职行政复议人员，保证行政复议办案能力与相对集中行政复议工作任务相适应。</w:t>
      </w:r>
    </w:p>
    <w:p>
      <w:pPr>
        <w:pStyle w:val="7"/>
        <w:bidi w:val="0"/>
        <w:rPr>
          <w:rFonts w:hint="eastAsia"/>
          <w:color w:val="auto"/>
          <w:lang w:val="en-US" w:eastAsia="zh-CN"/>
        </w:rPr>
      </w:pPr>
      <w:r>
        <w:rPr>
          <w:rFonts w:hint="eastAsia"/>
          <w:color w:val="auto"/>
          <w:lang w:val="en-US" w:eastAsia="zh-CN"/>
        </w:rPr>
        <w:t>片区管理委员会机构编制、财政等部门应当根据相对集中行政复议权工作的需要，配合做好相关保障工作。</w:t>
      </w:r>
    </w:p>
    <w:p>
      <w:pPr>
        <w:pStyle w:val="7"/>
        <w:bidi w:val="0"/>
        <w:rPr>
          <w:rFonts w:hint="eastAsia"/>
          <w:color w:val="auto"/>
          <w:lang w:val="en-US" w:eastAsia="zh-CN"/>
        </w:rPr>
      </w:pPr>
      <w:r>
        <w:rPr>
          <w:rFonts w:hint="eastAsia" w:ascii="黑体" w:hAnsi="黑体" w:eastAsia="黑体" w:cs="黑体"/>
          <w:color w:val="auto"/>
          <w:lang w:val="en-US" w:eastAsia="zh-CN"/>
        </w:rPr>
        <w:t>第十二条</w:t>
      </w:r>
      <w:r>
        <w:rPr>
          <w:rFonts w:hint="eastAsia"/>
          <w:color w:val="auto"/>
          <w:lang w:val="en-US" w:eastAsia="zh-CN"/>
        </w:rPr>
        <w:t xml:space="preserve">  公民、法人或者其他组织根据本办法申请行政复议时，一并对具体行政行为所依据的规</w:t>
      </w:r>
      <w:bookmarkStart w:id="0" w:name="_GoBack"/>
      <w:bookmarkEnd w:id="0"/>
      <w:r>
        <w:rPr>
          <w:rFonts w:hint="eastAsia"/>
          <w:color w:val="auto"/>
          <w:lang w:val="en-US" w:eastAsia="zh-CN"/>
        </w:rPr>
        <w:t>定提出审查申请的，片区管理委员会应当依照《中华人民共和国行政复议法》【</w:t>
      </w:r>
      <w:r>
        <w:rPr>
          <w:rFonts w:hint="eastAsia"/>
          <w:color w:val="auto"/>
          <w:shd w:val="clear" w:color="FFFFFF" w:fill="D9D9D9"/>
          <w:lang w:val="en-US" w:eastAsia="zh-CN"/>
        </w:rPr>
        <w:t>第七条</w:t>
      </w:r>
      <w:r>
        <w:rPr>
          <w:rFonts w:hint="eastAsia"/>
          <w:color w:val="auto"/>
          <w:lang w:val="en-US" w:eastAsia="zh-CN"/>
        </w:rPr>
        <w:t>】的规定处理。处理期间，中止对具体行政行为的审查。</w:t>
      </w:r>
    </w:p>
    <w:p>
      <w:pPr>
        <w:pStyle w:val="7"/>
        <w:bidi w:val="0"/>
        <w:rPr>
          <w:rFonts w:hint="eastAsia"/>
          <w:color w:val="auto"/>
          <w:lang w:val="en-US" w:eastAsia="zh-CN"/>
        </w:rPr>
      </w:pPr>
      <w:r>
        <w:rPr>
          <w:rFonts w:hint="eastAsia" w:ascii="黑体" w:hAnsi="黑体" w:eastAsia="黑体" w:cs="黑体"/>
          <w:color w:val="auto"/>
          <w:lang w:val="en-US" w:eastAsia="zh-CN"/>
        </w:rPr>
        <w:t>第十三条</w:t>
      </w:r>
      <w:r>
        <w:rPr>
          <w:rFonts w:hint="eastAsia"/>
          <w:color w:val="auto"/>
          <w:lang w:val="en-US" w:eastAsia="zh-CN"/>
        </w:rPr>
        <w:t xml:space="preserve">  本办法自公布之日起施行。</w:t>
      </w:r>
    </w:p>
    <w:p>
      <w:pPr>
        <w:pStyle w:val="7"/>
        <w:bidi w:val="0"/>
        <w:rPr>
          <w:rFonts w:hint="eastAsia"/>
          <w:color w:val="auto"/>
          <w:lang w:val="en-US" w:eastAsia="zh-CN"/>
        </w:rPr>
      </w:pPr>
    </w:p>
    <w:p/>
    <w:p>
      <w:pPr>
        <w:pStyle w:val="10"/>
        <w:rPr>
          <w:rFonts w:hint="default"/>
        </w:rPr>
      </w:pPr>
    </w:p>
    <w:p>
      <w:pPr>
        <w:spacing w:beforeLines="0" w:afterLines="0" w:line="600" w:lineRule="exact"/>
        <w:ind w:firstLine="640" w:firstLineChars="200"/>
        <w:rPr>
          <w:rFonts w:hint="eastAsia" w:ascii="仿宋_GB2312" w:eastAsia="仿宋_GB2312"/>
          <w:spacing w:val="0"/>
          <w:sz w:val="32"/>
          <w:szCs w:val="32"/>
        </w:rPr>
      </w:pP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t xml:space="preserve">— </w:t>
                          </w:r>
                          <w:r>
                            <w:fldChar w:fldCharType="begin"/>
                          </w:r>
                          <w:r>
                            <w:instrText xml:space="preserve"> PAGE  \* MERGEFORMAT </w:instrText>
                          </w:r>
                          <w:r>
                            <w:fldChar w:fldCharType="separate"/>
                          </w:r>
                          <w:r>
                            <w:t>- 2 -</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- 2 -</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540FB"/>
    <w:rsid w:val="31D540FB"/>
    <w:rsid w:val="487B234B"/>
    <w:rsid w:val="4F641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szCs w:val="22"/>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uiPriority w:val="0"/>
    <w:pPr>
      <w:widowControl w:val="0"/>
      <w:spacing w:after="120"/>
      <w:jc w:val="both"/>
    </w:pPr>
    <w:rPr>
      <w:rFonts w:ascii="Calibri" w:hAnsi="Calibri" w:eastAsia="宋体" w:cs="Times New Roman"/>
      <w:kern w:val="2"/>
      <w:sz w:val="21"/>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customStyle="1" w:styleId="6">
    <w:name w:val="规章题注"/>
    <w:basedOn w:val="1"/>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character" w:customStyle="1" w:styleId="8">
    <w:name w:val="条数 Char"/>
    <w:link w:val="9"/>
    <w:qFormat/>
    <w:uiPriority w:val="0"/>
    <w:rPr>
      <w:rFonts w:hint="eastAsia" w:ascii="黑体" w:hAnsi="黑体" w:eastAsia="黑体" w:cs="黑体"/>
      <w:color w:val="333333"/>
      <w:sz w:val="32"/>
      <w:szCs w:val="32"/>
      <w:shd w:val="clear" w:color="auto" w:fill="FFFFFF"/>
    </w:rPr>
  </w:style>
  <w:style w:type="paragraph" w:customStyle="1" w:styleId="9">
    <w:name w:val="条数"/>
    <w:basedOn w:val="1"/>
    <w:link w:val="8"/>
    <w:qFormat/>
    <w:uiPriority w:val="0"/>
    <w:pPr>
      <w:ind w:firstLine="640" w:firstLineChars="200"/>
      <w:jc w:val="left"/>
    </w:pPr>
    <w:rPr>
      <w:rFonts w:hint="eastAsia" w:ascii="黑体" w:hAnsi="黑体" w:eastAsia="黑体" w:cs="黑体"/>
      <w:color w:val="333333"/>
      <w:sz w:val="32"/>
      <w:szCs w:val="32"/>
      <w:shd w:val="clear" w:color="auto" w:fill="FFFFFF"/>
    </w:rPr>
  </w:style>
  <w:style w:type="paragraph" w:customStyle="1" w:styleId="10">
    <w:name w:val="Body Text First Indent 21"/>
    <w:basedOn w:val="11"/>
    <w:qFormat/>
    <w:uiPriority w:val="0"/>
    <w:pPr>
      <w:spacing w:line="340" w:lineRule="exact"/>
      <w:ind w:right="-139" w:hangingChars="26" w:firstLine="420"/>
    </w:pPr>
    <w:rPr>
      <w:rFonts w:ascii="华文中宋" w:hAnsi="华文中宋" w:eastAsia="华文中宋"/>
      <w:sz w:val="24"/>
      <w:szCs w:val="20"/>
    </w:rPr>
  </w:style>
  <w:style w:type="paragraph" w:customStyle="1" w:styleId="11">
    <w:name w:val="Body Text Indent1"/>
    <w:basedOn w:val="1"/>
    <w:qFormat/>
    <w:uiPriority w:val="0"/>
    <w:pPr>
      <w:spacing w:after="120" w:afterLines="0"/>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2023-11-30T08:14:00Z</dcterms:created>
  <dc:creator>Administrator</dc:creator>
  <cp:lastModifiedBy>Administrator</cp:lastModifiedBy>
  <dcterms:modified xsi:type="dcterms:W3CDTF">2023-11-30T08:17:26Z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