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76" w:rsidRDefault="00E95976" w:rsidP="005668FA">
      <w:pPr>
        <w:jc w:val="both"/>
        <w:rPr>
          <w:rFonts w:ascii="黑体" w:eastAsia="黑体" w:hAnsi="宋体" w:cs="Times New Roman"/>
          <w:b/>
          <w:bCs/>
          <w:sz w:val="52"/>
          <w:szCs w:val="52"/>
        </w:rPr>
      </w:pPr>
    </w:p>
    <w:p w:rsidR="00E95976" w:rsidRPr="00997BEA" w:rsidRDefault="00E95976" w:rsidP="000328FE">
      <w:pPr>
        <w:jc w:val="center"/>
        <w:rPr>
          <w:rFonts w:ascii="黑体" w:eastAsia="黑体" w:hAnsi="宋体" w:cs="Times New Roman"/>
          <w:b/>
          <w:bCs/>
          <w:sz w:val="52"/>
          <w:szCs w:val="52"/>
        </w:rPr>
      </w:pPr>
      <w:r w:rsidRPr="00997BEA">
        <w:rPr>
          <w:rFonts w:ascii="黑体" w:eastAsia="黑体" w:hAnsi="宋体" w:cs="黑体" w:hint="eastAsia"/>
          <w:b/>
          <w:bCs/>
          <w:sz w:val="52"/>
          <w:szCs w:val="52"/>
        </w:rPr>
        <w:t>福建省女子司法强制隔离戒毒所</w:t>
      </w:r>
    </w:p>
    <w:p w:rsidR="00E95976" w:rsidRPr="00997BEA" w:rsidRDefault="00E95976" w:rsidP="000328FE">
      <w:pPr>
        <w:jc w:val="center"/>
        <w:rPr>
          <w:rFonts w:ascii="黑体" w:eastAsia="黑体" w:hAnsi="宋体" w:cs="Times New Roman"/>
          <w:b/>
          <w:bCs/>
          <w:sz w:val="52"/>
          <w:szCs w:val="52"/>
        </w:rPr>
      </w:pPr>
      <w:r w:rsidRPr="00997BEA">
        <w:rPr>
          <w:rFonts w:ascii="黑体" w:eastAsia="黑体" w:hAnsi="宋体" w:cs="黑体" w:hint="eastAsia"/>
          <w:b/>
          <w:bCs/>
          <w:sz w:val="52"/>
          <w:szCs w:val="52"/>
        </w:rPr>
        <w:t>戒毒人员生活费项目财政支出</w:t>
      </w:r>
    </w:p>
    <w:p w:rsidR="00E95976" w:rsidRPr="00997BEA" w:rsidRDefault="00E95976" w:rsidP="000328FE">
      <w:pPr>
        <w:jc w:val="center"/>
        <w:rPr>
          <w:rFonts w:ascii="黑体" w:eastAsia="黑体" w:cs="Times New Roman"/>
          <w:b/>
          <w:bCs/>
          <w:sz w:val="52"/>
          <w:szCs w:val="52"/>
        </w:rPr>
      </w:pPr>
    </w:p>
    <w:p w:rsidR="00E95976" w:rsidRPr="00997BEA" w:rsidRDefault="00E95976" w:rsidP="000328FE">
      <w:pPr>
        <w:jc w:val="center"/>
        <w:rPr>
          <w:rFonts w:ascii="黑体" w:eastAsia="黑体" w:cs="Times New Roman"/>
          <w:b/>
          <w:bCs/>
          <w:sz w:val="52"/>
          <w:szCs w:val="52"/>
        </w:rPr>
      </w:pPr>
    </w:p>
    <w:p w:rsidR="00E95976" w:rsidRPr="00997BEA" w:rsidRDefault="00E95976" w:rsidP="00263288">
      <w:pPr>
        <w:ind w:firstLineChars="343" w:firstLine="31680"/>
        <w:jc w:val="both"/>
        <w:rPr>
          <w:rFonts w:ascii="黑体" w:eastAsia="黑体" w:cs="Times New Roman"/>
          <w:b/>
          <w:bCs/>
          <w:sz w:val="72"/>
          <w:szCs w:val="72"/>
        </w:rPr>
      </w:pPr>
      <w:r w:rsidRPr="00997BEA">
        <w:rPr>
          <w:rFonts w:ascii="黑体" w:eastAsia="黑体" w:cs="黑体" w:hint="eastAsia"/>
          <w:b/>
          <w:bCs/>
          <w:sz w:val="72"/>
          <w:szCs w:val="72"/>
        </w:rPr>
        <w:t>绩效自评报告</w:t>
      </w:r>
    </w:p>
    <w:p w:rsidR="00E95976" w:rsidRPr="00997BEA" w:rsidRDefault="00E95976" w:rsidP="0027145D">
      <w:pPr>
        <w:jc w:val="center"/>
        <w:rPr>
          <w:rFonts w:ascii="黑体" w:eastAsia="黑体" w:cs="Times New Roman"/>
          <w:b/>
          <w:bCs/>
          <w:sz w:val="72"/>
          <w:szCs w:val="72"/>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263288">
      <w:pPr>
        <w:ind w:firstLineChars="343" w:firstLine="31680"/>
        <w:jc w:val="center"/>
        <w:rPr>
          <w:rFonts w:ascii="黑体" w:eastAsia="黑体" w:cs="Times New Roman"/>
          <w:b/>
          <w:bCs/>
          <w:sz w:val="30"/>
          <w:szCs w:val="30"/>
        </w:rPr>
      </w:pPr>
    </w:p>
    <w:p w:rsidR="00E95976" w:rsidRPr="00997BEA" w:rsidRDefault="00E95976" w:rsidP="000328FE">
      <w:pPr>
        <w:jc w:val="center"/>
        <w:rPr>
          <w:rFonts w:ascii="黑体" w:eastAsia="黑体" w:cs="Times New Roman"/>
          <w:b/>
          <w:bCs/>
          <w:sz w:val="32"/>
          <w:szCs w:val="32"/>
        </w:rPr>
      </w:pPr>
      <w:r w:rsidRPr="00997BEA">
        <w:rPr>
          <w:rFonts w:ascii="黑体" w:eastAsia="黑体" w:hAnsi="宋体" w:cs="黑体" w:hint="eastAsia"/>
          <w:b/>
          <w:bCs/>
          <w:sz w:val="32"/>
          <w:szCs w:val="32"/>
        </w:rPr>
        <w:t>福建省女子司法强制隔离戒毒所</w:t>
      </w:r>
    </w:p>
    <w:p w:rsidR="00E95976" w:rsidRPr="00997BEA" w:rsidRDefault="00E95976" w:rsidP="000328FE">
      <w:pPr>
        <w:jc w:val="center"/>
        <w:rPr>
          <w:rFonts w:ascii="黑体" w:eastAsia="黑体" w:cs="Times New Roman"/>
          <w:b/>
          <w:bCs/>
          <w:sz w:val="30"/>
          <w:szCs w:val="30"/>
        </w:rPr>
      </w:pPr>
      <w:r w:rsidRPr="00997BEA">
        <w:rPr>
          <w:rFonts w:ascii="黑体" w:eastAsia="黑体" w:hAnsi="宋体" w:cs="黑体"/>
          <w:b/>
          <w:bCs/>
          <w:sz w:val="30"/>
          <w:szCs w:val="30"/>
        </w:rPr>
        <w:t>2017</w:t>
      </w:r>
      <w:r w:rsidRPr="00997BEA">
        <w:rPr>
          <w:rFonts w:ascii="黑体" w:eastAsia="黑体" w:hAnsi="宋体" w:cs="黑体" w:hint="eastAsia"/>
          <w:b/>
          <w:bCs/>
          <w:sz w:val="30"/>
          <w:szCs w:val="30"/>
        </w:rPr>
        <w:t>年</w:t>
      </w:r>
      <w:r w:rsidRPr="00997BEA">
        <w:rPr>
          <w:rFonts w:ascii="黑体" w:eastAsia="黑体" w:hAnsi="宋体" w:cs="黑体"/>
          <w:b/>
          <w:bCs/>
          <w:sz w:val="30"/>
          <w:szCs w:val="30"/>
        </w:rPr>
        <w:t>4</w:t>
      </w:r>
      <w:r w:rsidRPr="00997BEA">
        <w:rPr>
          <w:rFonts w:ascii="黑体" w:eastAsia="黑体" w:hAnsi="宋体" w:cs="黑体" w:hint="eastAsia"/>
          <w:b/>
          <w:bCs/>
          <w:sz w:val="30"/>
          <w:szCs w:val="30"/>
        </w:rPr>
        <w:t>月</w:t>
      </w:r>
      <w:r w:rsidRPr="00997BEA">
        <w:rPr>
          <w:rFonts w:ascii="黑体" w:eastAsia="黑体" w:hAnsi="宋体" w:cs="黑体"/>
          <w:b/>
          <w:bCs/>
          <w:sz w:val="30"/>
          <w:szCs w:val="30"/>
        </w:rPr>
        <w:t>30</w:t>
      </w:r>
      <w:r w:rsidRPr="00997BEA">
        <w:rPr>
          <w:rFonts w:ascii="黑体" w:eastAsia="黑体" w:hAnsi="宋体" w:cs="黑体" w:hint="eastAsia"/>
          <w:b/>
          <w:bCs/>
          <w:sz w:val="30"/>
          <w:szCs w:val="30"/>
        </w:rPr>
        <w:t>日</w:t>
      </w:r>
    </w:p>
    <w:p w:rsidR="00E95976" w:rsidRDefault="00E95976"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福建省女子司法强制隔离戒毒所</w:t>
      </w:r>
    </w:p>
    <w:p w:rsidR="00E95976" w:rsidRDefault="00E95976"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b/>
          <w:bCs/>
          <w:sz w:val="44"/>
          <w:szCs w:val="44"/>
        </w:rPr>
        <w:t>2016</w:t>
      </w:r>
      <w:r>
        <w:rPr>
          <w:rFonts w:ascii="仿宋_GB2312" w:eastAsia="仿宋_GB2312" w:hAnsi="仿宋" w:cs="仿宋_GB2312" w:hint="eastAsia"/>
          <w:b/>
          <w:bCs/>
          <w:sz w:val="44"/>
          <w:szCs w:val="44"/>
        </w:rPr>
        <w:t>年度戒毒人员生活费项目财政支出</w:t>
      </w:r>
    </w:p>
    <w:p w:rsidR="00E95976" w:rsidRDefault="00E95976"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绩效评价报告</w:t>
      </w:r>
    </w:p>
    <w:p w:rsidR="00E95976" w:rsidRDefault="00E95976" w:rsidP="005668FA">
      <w:pPr>
        <w:spacing w:after="0" w:line="240" w:lineRule="auto"/>
        <w:jc w:val="both"/>
        <w:rPr>
          <w:rFonts w:ascii="仿宋_GB2312" w:eastAsia="仿宋_GB2312" w:hAnsi="仿宋" w:cs="Times New Roman"/>
          <w:sz w:val="15"/>
          <w:szCs w:val="15"/>
        </w:rPr>
      </w:pP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一、项目概况</w:t>
      </w:r>
    </w:p>
    <w:p w:rsidR="00E95976" w:rsidRDefault="00E95976" w:rsidP="00263288">
      <w:pPr>
        <w:spacing w:after="0" w:line="500" w:lineRule="exact"/>
        <w:ind w:firstLineChars="200" w:firstLine="31680"/>
        <w:jc w:val="both"/>
        <w:rPr>
          <w:rFonts w:ascii="仿宋_GB2312" w:eastAsia="仿宋_GB2312" w:cs="Times New Roman"/>
          <w:b/>
          <w:bCs/>
          <w:sz w:val="28"/>
          <w:szCs w:val="28"/>
        </w:rPr>
      </w:pPr>
      <w:r>
        <w:rPr>
          <w:rFonts w:ascii="仿宋_GB2312" w:eastAsia="仿宋_GB2312" w:hAnsi="仿宋" w:cs="仿宋_GB2312" w:hint="eastAsia"/>
          <w:b/>
          <w:bCs/>
          <w:sz w:val="28"/>
          <w:szCs w:val="28"/>
        </w:rPr>
        <w:t>（一）项目单位基本情况</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福建省女子司法强制隔离戒毒所（以下简称“省女子司法强戒所”）位于福州市仓山区福湾路</w:t>
      </w:r>
      <w:r>
        <w:rPr>
          <w:rFonts w:ascii="仿宋_GB2312" w:eastAsia="仿宋_GB2312" w:hAnsi="仿宋" w:cs="仿宋_GB2312"/>
          <w:sz w:val="28"/>
          <w:szCs w:val="28"/>
        </w:rPr>
        <w:t>811</w:t>
      </w:r>
      <w:r>
        <w:rPr>
          <w:rFonts w:ascii="仿宋_GB2312" w:eastAsia="仿宋_GB2312" w:hAnsi="仿宋" w:cs="仿宋_GB2312" w:hint="eastAsia"/>
          <w:sz w:val="28"/>
          <w:szCs w:val="28"/>
        </w:rPr>
        <w:t>号，建筑面积约</w:t>
      </w:r>
      <w:r>
        <w:rPr>
          <w:rFonts w:ascii="仿宋_GB2312" w:eastAsia="仿宋_GB2312" w:hAnsi="仿宋" w:cs="仿宋_GB2312"/>
          <w:sz w:val="28"/>
          <w:szCs w:val="28"/>
        </w:rPr>
        <w:t>1.5</w:t>
      </w:r>
      <w:r>
        <w:rPr>
          <w:rFonts w:ascii="仿宋_GB2312" w:eastAsia="仿宋_GB2312" w:hAnsi="仿宋" w:cs="仿宋_GB2312" w:hint="eastAsia"/>
          <w:sz w:val="28"/>
          <w:szCs w:val="28"/>
        </w:rPr>
        <w:t>万平方米。正处级建制，主要负责收治福建省女性强制隔离戒毒人员。</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（二）项目基本情况</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1.</w:t>
      </w:r>
      <w:r>
        <w:rPr>
          <w:rFonts w:ascii="仿宋_GB2312" w:eastAsia="仿宋_GB2312" w:hAnsi="仿宋" w:cs="仿宋_GB2312" w:hint="eastAsia"/>
          <w:b/>
          <w:bCs/>
          <w:sz w:val="28"/>
          <w:szCs w:val="28"/>
        </w:rPr>
        <w:t>司法强制隔离戒毒人员生活费项目立项依据</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戒毒人员生活费项目是根据《中华人民共和国禁毒法》、《戒毒条例》、《中华人民共和国食品安全法》、《司法行政机关强制隔离戒毒工作规定》（司法部令第</w:t>
      </w:r>
      <w:r>
        <w:rPr>
          <w:rFonts w:ascii="仿宋_GB2312" w:eastAsia="仿宋_GB2312" w:hAnsi="仿宋" w:cs="仿宋_GB2312"/>
          <w:sz w:val="28"/>
          <w:szCs w:val="28"/>
        </w:rPr>
        <w:t>127</w:t>
      </w:r>
      <w:r>
        <w:rPr>
          <w:rFonts w:ascii="仿宋_GB2312" w:eastAsia="仿宋_GB2312" w:hAnsi="仿宋" w:cs="仿宋_GB2312" w:hint="eastAsia"/>
          <w:sz w:val="28"/>
          <w:szCs w:val="28"/>
        </w:rPr>
        <w:t>号）、《福建省财政厅关于批复省司法厅戒毒管理局</w:t>
      </w:r>
      <w:r>
        <w:rPr>
          <w:rFonts w:ascii="仿宋_GB2312" w:eastAsia="仿宋_GB2312" w:hAnsi="仿宋" w:cs="仿宋_GB2312"/>
          <w:sz w:val="28"/>
          <w:szCs w:val="28"/>
        </w:rPr>
        <w:t>2016</w:t>
      </w:r>
      <w:r>
        <w:rPr>
          <w:rFonts w:ascii="仿宋_GB2312" w:eastAsia="仿宋_GB2312" w:hAnsi="仿宋" w:cs="仿宋_GB2312" w:hint="eastAsia"/>
          <w:sz w:val="28"/>
          <w:szCs w:val="28"/>
        </w:rPr>
        <w:t>年度部门预算的通知》（闽财指〔</w:t>
      </w:r>
      <w:r>
        <w:rPr>
          <w:rFonts w:ascii="仿宋_GB2312" w:eastAsia="仿宋_GB2312" w:hAnsi="仿宋" w:cs="仿宋_GB2312"/>
          <w:sz w:val="28"/>
          <w:szCs w:val="28"/>
        </w:rPr>
        <w:t>2016</w:t>
      </w:r>
      <w:r>
        <w:rPr>
          <w:rFonts w:ascii="仿宋_GB2312" w:eastAsia="仿宋_GB2312" w:hAnsi="仿宋" w:cs="仿宋_GB2312" w:hint="eastAsia"/>
          <w:sz w:val="28"/>
          <w:szCs w:val="28"/>
        </w:rPr>
        <w:t>〕</w:t>
      </w:r>
      <w:r>
        <w:rPr>
          <w:rFonts w:ascii="仿宋_GB2312" w:eastAsia="仿宋_GB2312" w:hAnsi="仿宋" w:cs="仿宋_GB2312"/>
          <w:sz w:val="28"/>
          <w:szCs w:val="28"/>
        </w:rPr>
        <w:t>13</w:t>
      </w:r>
      <w:r>
        <w:rPr>
          <w:rFonts w:ascii="仿宋_GB2312" w:eastAsia="仿宋_GB2312" w:hAnsi="仿宋" w:cs="仿宋_GB2312" w:hint="eastAsia"/>
          <w:sz w:val="28"/>
          <w:szCs w:val="28"/>
        </w:rPr>
        <w:t>号）予以立项。</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2.</w:t>
      </w:r>
      <w:r>
        <w:rPr>
          <w:rFonts w:ascii="仿宋_GB2312" w:eastAsia="仿宋_GB2312" w:hAnsi="仿宋" w:cs="仿宋_GB2312" w:hint="eastAsia"/>
          <w:b/>
          <w:bCs/>
          <w:sz w:val="28"/>
          <w:szCs w:val="28"/>
        </w:rPr>
        <w:t>司法强制隔离戒毒人员生活费项目的基本情况</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戒毒人员生活费项目内容：生活费人均标准为</w:t>
      </w:r>
      <w:r>
        <w:rPr>
          <w:rFonts w:ascii="仿宋_GB2312" w:eastAsia="仿宋_GB2312" w:hAnsi="仿宋" w:cs="仿宋_GB2312"/>
          <w:sz w:val="28"/>
          <w:szCs w:val="28"/>
        </w:rPr>
        <w:t>3900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人，包括伙食费、被服费、水电费、日用品补助费、杂支费和其他生活费（其中伙食费为</w:t>
      </w:r>
      <w:r>
        <w:rPr>
          <w:rFonts w:ascii="仿宋_GB2312" w:eastAsia="仿宋_GB2312" w:hAnsi="仿宋" w:cs="仿宋_GB2312"/>
          <w:sz w:val="28"/>
          <w:szCs w:val="28"/>
        </w:rPr>
        <w:t>2880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人，其他非伙食类支出</w:t>
      </w:r>
      <w:r>
        <w:rPr>
          <w:rFonts w:ascii="仿宋_GB2312" w:eastAsia="仿宋_GB2312" w:hAnsi="仿宋" w:cs="仿宋_GB2312"/>
          <w:sz w:val="28"/>
          <w:szCs w:val="28"/>
        </w:rPr>
        <w:t>1020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3.</w:t>
      </w:r>
      <w:r>
        <w:rPr>
          <w:rFonts w:ascii="仿宋_GB2312" w:eastAsia="仿宋_GB2312" w:hAnsi="仿宋" w:cs="仿宋_GB2312" w:hint="eastAsia"/>
          <w:b/>
          <w:bCs/>
          <w:sz w:val="28"/>
          <w:szCs w:val="28"/>
        </w:rPr>
        <w:t>司法强制隔离戒毒人员生活费项目必要性、可行性分析</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由于强制隔离戒毒人员普遍吸毒史长、免疫力差、各类传染病和心脑血管等疾病高发，身体健康问题突出，在戒毒治疗工作的脱毒期、康复期等不同阶段，戒毒人员的身体状况和营养需求差异较大。提供科学合理的营养供给，是戒毒治疗、康复工作的基本保障。按照</w:t>
      </w:r>
      <w:r>
        <w:rPr>
          <w:rFonts w:ascii="仿宋_GB2312" w:eastAsia="仿宋_GB2312" w:cs="仿宋_GB2312" w:hint="eastAsia"/>
          <w:sz w:val="28"/>
          <w:szCs w:val="28"/>
        </w:rPr>
        <w:t>福建省财政厅司法厅《福建省司法行政系统强制隔离戒毒所基本支出经费标准》（闽财行〔</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2</w:t>
      </w:r>
      <w:r>
        <w:rPr>
          <w:rFonts w:ascii="仿宋_GB2312" w:eastAsia="仿宋_GB2312" w:cs="仿宋_GB2312" w:hint="eastAsia"/>
          <w:sz w:val="28"/>
          <w:szCs w:val="28"/>
        </w:rPr>
        <w:t>号）</w:t>
      </w:r>
      <w:r>
        <w:rPr>
          <w:rFonts w:ascii="仿宋_GB2312" w:eastAsia="仿宋_GB2312" w:hAnsi="仿宋" w:cs="仿宋_GB2312" w:hint="eastAsia"/>
          <w:sz w:val="28"/>
          <w:szCs w:val="28"/>
        </w:rPr>
        <w:t>、《司法行政机关强制隔离戒毒工作规定》等相关要求，确保司法强制隔离戒毒人员基本生活保障，确保场所安全稳定，对于司法强制隔离戒毒人员生活费项目必需予以立项并加以保证。</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 xml:space="preserve">4. </w:t>
      </w:r>
      <w:r>
        <w:rPr>
          <w:rFonts w:ascii="仿宋_GB2312" w:eastAsia="仿宋_GB2312" w:hAnsi="仿宋" w:cs="仿宋_GB2312" w:hint="eastAsia"/>
          <w:b/>
          <w:bCs/>
          <w:sz w:val="28"/>
          <w:szCs w:val="28"/>
        </w:rPr>
        <w:t>司法强制隔离戒毒人员生活费项目绩效总目标情况</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保障戒毒人员吃饱、吃熟、吃热、吃得卫生，吃足年人均伙食费标准为目标。做到食物营养搭配合理，膳食均衡。做好平时伙食和节假日伙食的调剂和改善。办好脱毒期、未成年戒毒人员营养餐，病号餐、民族餐、生日餐。自觉接受监督，做到伙食标准、月伙食账目、周食谱三公开。保障戒毒人员生活环境的卫生整洁。建立建全戒毒人员健康档案。做好安全保障工作，确保场所可持续发展。</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二、项目实施基本情况</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（一）项目总投入情况</w:t>
      </w:r>
    </w:p>
    <w:p w:rsidR="00E95976" w:rsidRDefault="00E95976" w:rsidP="00263288">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sz w:val="28"/>
          <w:szCs w:val="28"/>
        </w:rPr>
        <w:t>2016</w:t>
      </w:r>
      <w:r>
        <w:rPr>
          <w:rFonts w:ascii="仿宋_GB2312" w:eastAsia="仿宋_GB2312" w:hAnsi="黑体" w:cs="仿宋_GB2312" w:hint="eastAsia"/>
          <w:sz w:val="28"/>
          <w:szCs w:val="28"/>
        </w:rPr>
        <w:t>年省财政预算分两批下达，并通过授权支付拨入司法强制隔离戒毒人员生活费</w:t>
      </w:r>
      <w:r>
        <w:rPr>
          <w:rFonts w:ascii="仿宋_GB2312" w:eastAsia="仿宋_GB2312" w:hAnsi="黑体" w:cs="仿宋_GB2312"/>
          <w:sz w:val="28"/>
          <w:szCs w:val="28"/>
        </w:rPr>
        <w:t>234</w:t>
      </w:r>
      <w:r>
        <w:rPr>
          <w:rFonts w:ascii="仿宋_GB2312" w:eastAsia="仿宋_GB2312" w:hAnsi="黑体" w:cs="仿宋_GB2312" w:hint="eastAsia"/>
          <w:sz w:val="28"/>
          <w:szCs w:val="28"/>
        </w:rPr>
        <w:t>万元（指标文号：</w:t>
      </w:r>
      <w:r>
        <w:rPr>
          <w:rFonts w:ascii="仿宋_GB2312" w:eastAsia="仿宋_GB2312" w:hAnsi="黑体" w:cs="仿宋_GB2312"/>
          <w:sz w:val="28"/>
          <w:szCs w:val="28"/>
        </w:rPr>
        <w:t>3500100013349</w:t>
      </w:r>
      <w:r>
        <w:rPr>
          <w:rFonts w:ascii="仿宋_GB2312" w:eastAsia="仿宋_GB2312" w:hAnsi="黑体" w:cs="仿宋_GB2312" w:hint="eastAsia"/>
          <w:sz w:val="28"/>
          <w:szCs w:val="28"/>
        </w:rPr>
        <w:t>）。</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（二）项目的实际支出情况</w:t>
      </w:r>
    </w:p>
    <w:p w:rsidR="00E95976" w:rsidRDefault="00E95976" w:rsidP="00263288">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sz w:val="28"/>
          <w:szCs w:val="28"/>
        </w:rPr>
        <w:t>2016</w:t>
      </w:r>
      <w:r>
        <w:rPr>
          <w:rFonts w:ascii="仿宋_GB2312" w:eastAsia="仿宋_GB2312" w:hAnsi="黑体" w:cs="仿宋_GB2312" w:hint="eastAsia"/>
          <w:sz w:val="28"/>
          <w:szCs w:val="28"/>
        </w:rPr>
        <w:t>年度戒毒人员生活费项目实际支出</w:t>
      </w:r>
      <w:r>
        <w:rPr>
          <w:rFonts w:ascii="仿宋_GB2312" w:eastAsia="仿宋_GB2312" w:hAnsi="黑体" w:cs="仿宋_GB2312"/>
          <w:sz w:val="28"/>
          <w:szCs w:val="28"/>
        </w:rPr>
        <w:t>246.04</w:t>
      </w:r>
      <w:r>
        <w:rPr>
          <w:rFonts w:ascii="仿宋_GB2312" w:eastAsia="仿宋_GB2312" w:hAnsi="黑体" w:cs="仿宋_GB2312" w:hint="eastAsia"/>
          <w:sz w:val="28"/>
          <w:szCs w:val="28"/>
        </w:rPr>
        <w:t>万元，其中：伙食费支出</w:t>
      </w:r>
      <w:r>
        <w:rPr>
          <w:rFonts w:ascii="仿宋_GB2312" w:eastAsia="仿宋_GB2312" w:hAnsi="黑体" w:cs="仿宋_GB2312"/>
          <w:sz w:val="28"/>
          <w:szCs w:val="28"/>
        </w:rPr>
        <w:t>198.65</w:t>
      </w:r>
      <w:r>
        <w:rPr>
          <w:rFonts w:ascii="仿宋_GB2312" w:eastAsia="仿宋_GB2312" w:hAnsi="黑体" w:cs="仿宋_GB2312" w:hint="eastAsia"/>
          <w:sz w:val="28"/>
          <w:szCs w:val="28"/>
        </w:rPr>
        <w:t>万元，被服费支出</w:t>
      </w:r>
      <w:r>
        <w:rPr>
          <w:rFonts w:ascii="仿宋_GB2312" w:eastAsia="仿宋_GB2312" w:hAnsi="黑体" w:cs="仿宋_GB2312"/>
          <w:sz w:val="28"/>
          <w:szCs w:val="28"/>
        </w:rPr>
        <w:t>4.67</w:t>
      </w:r>
      <w:r>
        <w:rPr>
          <w:rFonts w:ascii="仿宋_GB2312" w:eastAsia="仿宋_GB2312" w:hAnsi="黑体" w:cs="仿宋_GB2312" w:hint="eastAsia"/>
          <w:sz w:val="28"/>
          <w:szCs w:val="28"/>
        </w:rPr>
        <w:t>万元，水电费</w:t>
      </w:r>
      <w:r>
        <w:rPr>
          <w:rFonts w:ascii="仿宋_GB2312" w:eastAsia="仿宋_GB2312" w:hAnsi="黑体" w:cs="仿宋_GB2312"/>
          <w:sz w:val="28"/>
          <w:szCs w:val="28"/>
        </w:rPr>
        <w:t>26.62</w:t>
      </w:r>
      <w:r>
        <w:rPr>
          <w:rFonts w:ascii="仿宋_GB2312" w:eastAsia="仿宋_GB2312" w:hAnsi="黑体" w:cs="仿宋_GB2312" w:hint="eastAsia"/>
          <w:sz w:val="28"/>
          <w:szCs w:val="28"/>
        </w:rPr>
        <w:t>万元，日用品补助费支出</w:t>
      </w:r>
      <w:r>
        <w:rPr>
          <w:rFonts w:ascii="仿宋_GB2312" w:eastAsia="仿宋_GB2312" w:hAnsi="黑体" w:cs="仿宋_GB2312"/>
          <w:sz w:val="28"/>
          <w:szCs w:val="28"/>
        </w:rPr>
        <w:t>7.23</w:t>
      </w:r>
      <w:r>
        <w:rPr>
          <w:rFonts w:ascii="仿宋_GB2312" w:eastAsia="仿宋_GB2312" w:hAnsi="黑体" w:cs="仿宋_GB2312" w:hint="eastAsia"/>
          <w:sz w:val="28"/>
          <w:szCs w:val="28"/>
        </w:rPr>
        <w:t>万元，杂支费</w:t>
      </w:r>
      <w:r>
        <w:rPr>
          <w:rFonts w:ascii="仿宋_GB2312" w:eastAsia="仿宋_GB2312" w:hAnsi="黑体" w:cs="仿宋_GB2312"/>
          <w:sz w:val="28"/>
          <w:szCs w:val="28"/>
        </w:rPr>
        <w:t>0.68</w:t>
      </w:r>
      <w:r>
        <w:rPr>
          <w:rFonts w:ascii="仿宋_GB2312" w:eastAsia="仿宋_GB2312" w:hAnsi="黑体" w:cs="仿宋_GB2312" w:hint="eastAsia"/>
          <w:sz w:val="28"/>
          <w:szCs w:val="28"/>
        </w:rPr>
        <w:t>万元，其他生活费支出</w:t>
      </w:r>
      <w:r>
        <w:rPr>
          <w:rFonts w:ascii="仿宋_GB2312" w:eastAsia="仿宋_GB2312" w:hAnsi="黑体" w:cs="仿宋_GB2312"/>
          <w:sz w:val="28"/>
          <w:szCs w:val="28"/>
        </w:rPr>
        <w:t>8.19</w:t>
      </w:r>
      <w:r>
        <w:rPr>
          <w:rFonts w:ascii="仿宋_GB2312" w:eastAsia="仿宋_GB2312" w:hAnsi="黑体" w:cs="仿宋_GB2312" w:hint="eastAsia"/>
          <w:sz w:val="28"/>
          <w:szCs w:val="28"/>
        </w:rPr>
        <w:t>万元。</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（三）项目财务管理状况</w:t>
      </w:r>
    </w:p>
    <w:p w:rsidR="00E95976" w:rsidRDefault="00E95976" w:rsidP="00263288">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hint="eastAsia"/>
          <w:sz w:val="28"/>
          <w:szCs w:val="28"/>
        </w:rPr>
        <w:t>项目资金拨付程序规范，资金及时足额到位，项目执行过程中严格按照</w:t>
      </w:r>
      <w:r>
        <w:rPr>
          <w:rFonts w:ascii="仿宋_GB2312" w:eastAsia="仿宋_GB2312" w:cs="仿宋_GB2312" w:hint="eastAsia"/>
          <w:sz w:val="28"/>
          <w:szCs w:val="28"/>
        </w:rPr>
        <w:t>福建省财政厅司法厅《福建省司法行政系统强制隔离戒毒所基本支出经费标准》（闽财行〔</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2</w:t>
      </w:r>
      <w:r>
        <w:rPr>
          <w:rFonts w:ascii="仿宋_GB2312" w:eastAsia="仿宋_GB2312" w:cs="仿宋_GB2312" w:hint="eastAsia"/>
          <w:sz w:val="28"/>
          <w:szCs w:val="28"/>
        </w:rPr>
        <w:t>号）</w:t>
      </w:r>
      <w:r>
        <w:rPr>
          <w:rFonts w:ascii="仿宋_GB2312" w:eastAsia="仿宋_GB2312" w:hAnsi="仿宋" w:cs="仿宋_GB2312" w:hint="eastAsia"/>
          <w:sz w:val="28"/>
          <w:szCs w:val="28"/>
        </w:rPr>
        <w:t>、</w:t>
      </w:r>
      <w:r>
        <w:rPr>
          <w:rFonts w:ascii="仿宋_GB2312" w:eastAsia="仿宋_GB2312" w:hAnsi="黑体" w:cs="仿宋_GB2312" w:hint="eastAsia"/>
          <w:sz w:val="28"/>
          <w:szCs w:val="28"/>
        </w:rPr>
        <w:t>《司法行政机关强制隔离戒毒工作规定》等相关要求组织实施。戒毒人员专用食堂按照《会计法》、</w:t>
      </w:r>
      <w:r>
        <w:rPr>
          <w:rFonts w:ascii="仿宋_GB2312" w:eastAsia="仿宋_GB2312" w:cs="仿宋_GB2312" w:hint="eastAsia"/>
          <w:sz w:val="28"/>
          <w:szCs w:val="28"/>
        </w:rPr>
        <w:t>《福建省司法行政戒毒机关财务审批权限规定》（闽司戒〔</w:t>
      </w:r>
      <w:r>
        <w:rPr>
          <w:rFonts w:ascii="仿宋_GB2312" w:eastAsia="仿宋_GB2312" w:cs="仿宋_GB2312"/>
          <w:sz w:val="28"/>
          <w:szCs w:val="28"/>
        </w:rPr>
        <w:t>2014</w:t>
      </w:r>
      <w:r>
        <w:rPr>
          <w:rFonts w:ascii="仿宋_GB2312" w:eastAsia="仿宋_GB2312" w:cs="仿宋_GB2312" w:hint="eastAsia"/>
          <w:sz w:val="28"/>
          <w:szCs w:val="28"/>
        </w:rPr>
        <w:t>〕</w:t>
      </w:r>
      <w:r>
        <w:rPr>
          <w:rFonts w:ascii="仿宋_GB2312" w:eastAsia="仿宋_GB2312" w:cs="仿宋_GB2312"/>
          <w:sz w:val="28"/>
          <w:szCs w:val="28"/>
        </w:rPr>
        <w:t>127</w:t>
      </w:r>
      <w:r>
        <w:rPr>
          <w:rFonts w:ascii="仿宋_GB2312" w:eastAsia="仿宋_GB2312" w:cs="仿宋_GB2312" w:hint="eastAsia"/>
          <w:sz w:val="28"/>
          <w:szCs w:val="28"/>
        </w:rPr>
        <w:t>号）、</w:t>
      </w:r>
      <w:r>
        <w:rPr>
          <w:rFonts w:ascii="仿宋_GB2312" w:eastAsia="仿宋_GB2312" w:hAnsi="宋体" w:cs="仿宋_GB2312" w:hint="eastAsia"/>
          <w:sz w:val="28"/>
          <w:szCs w:val="28"/>
        </w:rPr>
        <w:t>《福建省司法行政戒毒单位</w:t>
      </w:r>
      <w:r>
        <w:rPr>
          <w:rFonts w:ascii="仿宋_GB2312" w:eastAsia="仿宋_GB2312" w:hAnsi="宋体" w:cs="仿宋_GB2312" w:hint="eastAsia"/>
          <w:color w:val="000000"/>
          <w:spacing w:val="-10"/>
          <w:sz w:val="28"/>
          <w:szCs w:val="28"/>
        </w:rPr>
        <w:t>采购</w:t>
      </w:r>
      <w:r>
        <w:rPr>
          <w:rFonts w:ascii="仿宋_GB2312" w:eastAsia="仿宋_GB2312" w:hAnsi="宋体" w:cs="仿宋_GB2312" w:hint="eastAsia"/>
          <w:sz w:val="28"/>
          <w:szCs w:val="28"/>
        </w:rPr>
        <w:t>办法》</w:t>
      </w:r>
      <w:r>
        <w:rPr>
          <w:rFonts w:ascii="仿宋_GB2312" w:eastAsia="仿宋_GB2312" w:cs="仿宋_GB2312" w:hint="eastAsia"/>
          <w:sz w:val="28"/>
          <w:szCs w:val="28"/>
        </w:rPr>
        <w:t>（闽司戒毒〔</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198</w:t>
      </w:r>
      <w:r>
        <w:rPr>
          <w:rFonts w:ascii="仿宋_GB2312" w:eastAsia="仿宋_GB2312" w:cs="仿宋_GB2312" w:hint="eastAsia"/>
          <w:sz w:val="28"/>
          <w:szCs w:val="28"/>
        </w:rPr>
        <w:t>号）</w:t>
      </w:r>
      <w:r>
        <w:rPr>
          <w:rFonts w:ascii="仿宋_GB2312" w:eastAsia="仿宋_GB2312" w:hAnsi="黑体" w:cs="仿宋_GB2312" w:hint="eastAsia"/>
          <w:sz w:val="28"/>
          <w:szCs w:val="28"/>
        </w:rPr>
        <w:t>等规定单独设立账套，做为行政账套的辅助账进行辅助核算，</w:t>
      </w:r>
      <w:r>
        <w:rPr>
          <w:rFonts w:ascii="仿宋_GB2312" w:eastAsia="仿宋_GB2312" w:cs="仿宋_GB2312" w:hint="eastAsia"/>
          <w:sz w:val="28"/>
          <w:szCs w:val="28"/>
        </w:rPr>
        <w:t>财务报销审批需事前填制《开支审批单》、《戒毒单位采购申请表》，</w:t>
      </w:r>
      <w:r>
        <w:rPr>
          <w:rFonts w:ascii="仿宋_GB2312" w:eastAsia="仿宋_GB2312" w:hAnsi="黑体" w:cs="仿宋_GB2312" w:hint="eastAsia"/>
          <w:sz w:val="28"/>
          <w:szCs w:val="28"/>
        </w:rPr>
        <w:t>专款专用，无截留、挪用和无拖延资金拨付的现象。会计核算真实、完整、及时，支出审批程序严格按规定执行，经费支出与预算批复用途相符，且符合国家财经法规和财务管理制度以及项目资金管理的相关规定。</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（四）项目管理制度及执行情况</w:t>
      </w:r>
    </w:p>
    <w:p w:rsidR="00E95976" w:rsidRDefault="00E95976" w:rsidP="00263288">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hint="eastAsia"/>
          <w:sz w:val="28"/>
          <w:szCs w:val="28"/>
        </w:rPr>
        <w:t>对戒毒人员专用食堂的物资采购采用了招投标方式，采用书面合同形式签订了各项合同，符合合同制有关要求。建立健全戒毒人员专用食堂管理制度和岗位责任制，取得《餐饮服务许可证》，食堂上岗人员取得健康合格证，建立健康专档，并每半年进行一次体检。严格执行食品安全有关规定，做好食品留样、加工、制作、分发等环节的管理，保证饮食安全、卫生。</w:t>
      </w:r>
    </w:p>
    <w:p w:rsidR="00E95976" w:rsidRDefault="00E95976" w:rsidP="00263288">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三、项目绩效分析</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（一）项目评价依据</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1. </w:t>
      </w:r>
      <w:r>
        <w:rPr>
          <w:rFonts w:ascii="仿宋_GB2312" w:eastAsia="仿宋_GB2312" w:hAnsi="仿宋" w:cs="仿宋_GB2312" w:hint="eastAsia"/>
          <w:sz w:val="28"/>
          <w:szCs w:val="28"/>
        </w:rPr>
        <w:t>《中华人民共和国禁毒法》</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2. </w:t>
      </w:r>
      <w:r>
        <w:rPr>
          <w:rFonts w:ascii="仿宋_GB2312" w:eastAsia="仿宋_GB2312" w:hAnsi="仿宋" w:cs="仿宋_GB2312" w:hint="eastAsia"/>
          <w:sz w:val="28"/>
          <w:szCs w:val="28"/>
        </w:rPr>
        <w:t>《戒毒条例》</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3. </w:t>
      </w:r>
      <w:r>
        <w:rPr>
          <w:rFonts w:ascii="仿宋_GB2312" w:eastAsia="仿宋_GB2312" w:hAnsi="仿宋" w:cs="仿宋_GB2312" w:hint="eastAsia"/>
          <w:sz w:val="28"/>
          <w:szCs w:val="28"/>
        </w:rPr>
        <w:t>《中华人民共和国食品安全法》</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4. </w:t>
      </w:r>
      <w:r>
        <w:rPr>
          <w:rFonts w:ascii="仿宋_GB2312" w:eastAsia="仿宋_GB2312" w:hAnsi="仿宋" w:cs="仿宋_GB2312" w:hint="eastAsia"/>
          <w:sz w:val="28"/>
          <w:szCs w:val="28"/>
        </w:rPr>
        <w:t>《司法行政机关强制隔离戒毒工作规定》（司法部令第</w:t>
      </w:r>
      <w:r>
        <w:rPr>
          <w:rFonts w:ascii="仿宋_GB2312" w:eastAsia="仿宋_GB2312" w:hAnsi="仿宋" w:cs="仿宋_GB2312"/>
          <w:sz w:val="28"/>
          <w:szCs w:val="28"/>
        </w:rPr>
        <w:t>127</w:t>
      </w:r>
      <w:r>
        <w:rPr>
          <w:rFonts w:ascii="仿宋_GB2312" w:eastAsia="仿宋_GB2312" w:hAnsi="仿宋" w:cs="仿宋_GB2312" w:hint="eastAsia"/>
          <w:sz w:val="28"/>
          <w:szCs w:val="28"/>
        </w:rPr>
        <w:t>号）</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5. </w:t>
      </w:r>
      <w:r>
        <w:rPr>
          <w:rFonts w:ascii="仿宋_GB2312" w:eastAsia="仿宋_GB2312" w:hAnsi="仿宋" w:cs="仿宋_GB2312" w:hint="eastAsia"/>
          <w:sz w:val="28"/>
          <w:szCs w:val="28"/>
        </w:rPr>
        <w:t>司法部戒毒管理局关于印发《强制隔离戒毒人员膳食营养指南》的通知（</w:t>
      </w:r>
      <w:r>
        <w:rPr>
          <w:rFonts w:ascii="仿宋_GB2312" w:eastAsia="仿宋_GB2312" w:hAnsi="仿宋" w:cs="仿宋_GB2312"/>
          <w:sz w:val="28"/>
          <w:szCs w:val="28"/>
        </w:rPr>
        <w:t xml:space="preserve"> [2014]</w:t>
      </w:r>
      <w:r>
        <w:rPr>
          <w:rFonts w:ascii="仿宋_GB2312" w:eastAsia="仿宋_GB2312" w:hAnsi="仿宋" w:cs="仿宋_GB2312" w:hint="eastAsia"/>
          <w:sz w:val="28"/>
          <w:szCs w:val="28"/>
        </w:rPr>
        <w:t>司戒毒字</w:t>
      </w:r>
      <w:r>
        <w:rPr>
          <w:rFonts w:ascii="仿宋_GB2312" w:eastAsia="仿宋_GB2312" w:hAnsi="仿宋" w:cs="仿宋_GB2312"/>
          <w:sz w:val="28"/>
          <w:szCs w:val="28"/>
        </w:rPr>
        <w:t>24</w:t>
      </w:r>
      <w:r>
        <w:rPr>
          <w:rFonts w:ascii="仿宋_GB2312" w:eastAsia="仿宋_GB2312" w:hAnsi="仿宋" w:cs="仿宋_GB2312" w:hint="eastAsia"/>
          <w:sz w:val="28"/>
          <w:szCs w:val="28"/>
        </w:rPr>
        <w:t>号）</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6. </w:t>
      </w:r>
      <w:r>
        <w:rPr>
          <w:rFonts w:ascii="仿宋_GB2312" w:eastAsia="仿宋_GB2312" w:hAnsi="仿宋" w:cs="仿宋_GB2312" w:hint="eastAsia"/>
          <w:sz w:val="28"/>
          <w:szCs w:val="28"/>
        </w:rPr>
        <w:t>财政部、司法部制定《强制隔离戒毒人员伙食被服实物量标准》（财行</w:t>
      </w:r>
      <w:r>
        <w:rPr>
          <w:rFonts w:ascii="仿宋_GB2312" w:eastAsia="仿宋_GB2312" w:hAnsi="仿宋" w:cs="仿宋_GB2312"/>
          <w:sz w:val="28"/>
          <w:szCs w:val="28"/>
        </w:rPr>
        <w:t>[2013]529</w:t>
      </w:r>
      <w:r>
        <w:rPr>
          <w:rFonts w:ascii="仿宋_GB2312" w:eastAsia="仿宋_GB2312" w:hAnsi="仿宋" w:cs="仿宋_GB2312" w:hint="eastAsia"/>
          <w:sz w:val="28"/>
          <w:szCs w:val="28"/>
        </w:rPr>
        <w:t>号）</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7. </w:t>
      </w:r>
      <w:r>
        <w:rPr>
          <w:rFonts w:ascii="仿宋_GB2312" w:eastAsia="仿宋_GB2312" w:hAnsi="仿宋" w:cs="仿宋_GB2312" w:hint="eastAsia"/>
          <w:sz w:val="28"/>
          <w:szCs w:val="28"/>
        </w:rPr>
        <w:t>福建省司法厅戒毒管理局关于印发《福建省强制隔离戒毒人员食堂管理规定》（闽司戒</w:t>
      </w:r>
      <w:r>
        <w:rPr>
          <w:rFonts w:ascii="仿宋_GB2312" w:eastAsia="仿宋_GB2312" w:hAnsi="仿宋" w:cs="仿宋_GB2312"/>
          <w:sz w:val="28"/>
          <w:szCs w:val="28"/>
        </w:rPr>
        <w:t>[2014]80</w:t>
      </w:r>
      <w:r>
        <w:rPr>
          <w:rFonts w:ascii="仿宋_GB2312" w:eastAsia="仿宋_GB2312" w:hAnsi="仿宋" w:cs="仿宋_GB2312" w:hint="eastAsia"/>
          <w:sz w:val="28"/>
          <w:szCs w:val="28"/>
        </w:rPr>
        <w:t>号）</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8.</w:t>
      </w:r>
      <w:r>
        <w:rPr>
          <w:rFonts w:ascii="仿宋_GB2312" w:eastAsia="仿宋_GB2312" w:hAnsi="仿宋" w:cs="仿宋_GB2312" w:hint="eastAsia"/>
          <w:sz w:val="28"/>
          <w:szCs w:val="28"/>
        </w:rPr>
        <w:t>《关于启用福建省强制隔离戒毒人员生活卫生工作月报表的通知》（闽司戒</w:t>
      </w:r>
      <w:r>
        <w:rPr>
          <w:rFonts w:ascii="仿宋_GB2312" w:eastAsia="仿宋_GB2312" w:hAnsi="仿宋" w:cs="仿宋_GB2312"/>
          <w:sz w:val="28"/>
          <w:szCs w:val="28"/>
        </w:rPr>
        <w:t>[2014]115</w:t>
      </w:r>
      <w:r>
        <w:rPr>
          <w:rFonts w:ascii="仿宋_GB2312" w:eastAsia="仿宋_GB2312" w:hAnsi="仿宋" w:cs="仿宋_GB2312" w:hint="eastAsia"/>
          <w:sz w:val="28"/>
          <w:szCs w:val="28"/>
        </w:rPr>
        <w:t>号）</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9</w:t>
      </w:r>
      <w:r>
        <w:rPr>
          <w:rFonts w:ascii="仿宋_GB2312" w:eastAsia="仿宋_GB2312" w:hAnsi="仿宋" w:cs="仿宋_GB2312" w:hint="eastAsia"/>
          <w:sz w:val="28"/>
          <w:szCs w:val="28"/>
        </w:rPr>
        <w:t>．其他与绩效评价项目有关的法律、法规及行业相关规定。</w:t>
      </w:r>
    </w:p>
    <w:p w:rsidR="00E95976" w:rsidRDefault="00E95976" w:rsidP="00263288">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（二）项目绩效评价工作开展情况</w:t>
      </w:r>
    </w:p>
    <w:p w:rsidR="00E95976" w:rsidRDefault="00E95976" w:rsidP="00263288">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根据福建省女子司法强制隔离戒毒所</w:t>
      </w:r>
      <w:r>
        <w:rPr>
          <w:rFonts w:ascii="仿宋_GB2312" w:eastAsia="仿宋_GB2312" w:hAnsi="仿宋" w:cs="仿宋_GB2312"/>
          <w:sz w:val="28"/>
          <w:szCs w:val="28"/>
        </w:rPr>
        <w:t>2016</w:t>
      </w:r>
      <w:r>
        <w:rPr>
          <w:rFonts w:ascii="仿宋_GB2312" w:eastAsia="仿宋_GB2312" w:hAnsi="仿宋" w:cs="仿宋_GB2312" w:hint="eastAsia"/>
          <w:sz w:val="28"/>
          <w:szCs w:val="28"/>
        </w:rPr>
        <w:t>年度戒毒人员生活费项目财政支出工作的实际情况和项目特点，我们选用评价指标共有二类（业务评价指标和财务评价指标），分投入、过程、产出与效益等三个大项</w:t>
      </w:r>
      <w:r>
        <w:rPr>
          <w:rFonts w:ascii="仿宋_GB2312" w:eastAsia="仿宋_GB2312" w:hAnsi="仿宋" w:cs="仿宋_GB2312"/>
          <w:sz w:val="28"/>
          <w:szCs w:val="28"/>
        </w:rPr>
        <w:t>22</w:t>
      </w:r>
      <w:r>
        <w:rPr>
          <w:rFonts w:ascii="仿宋_GB2312" w:eastAsia="仿宋_GB2312" w:hAnsi="仿宋" w:cs="仿宋_GB2312" w:hint="eastAsia"/>
          <w:sz w:val="28"/>
          <w:szCs w:val="28"/>
        </w:rPr>
        <w:t>个细化项目（详见评分表）。选用评价方法为比较法及访谈查证法，对</w:t>
      </w:r>
      <w:r>
        <w:rPr>
          <w:rFonts w:ascii="仿宋_GB2312" w:eastAsia="仿宋_GB2312" w:hAnsi="仿宋" w:cs="仿宋_GB2312"/>
          <w:sz w:val="28"/>
          <w:szCs w:val="28"/>
        </w:rPr>
        <w:t>2016</w:t>
      </w:r>
      <w:r>
        <w:rPr>
          <w:rFonts w:ascii="仿宋_GB2312" w:eastAsia="仿宋_GB2312" w:hAnsi="仿宋" w:cs="仿宋_GB2312" w:hint="eastAsia"/>
          <w:sz w:val="28"/>
          <w:szCs w:val="28"/>
        </w:rPr>
        <w:t>年度项目实施工作，经过收集资料，核实情况，数据比对，比较事先设定的计划指标和实际完成的工作任务和目标，比较经费预算安排和实际的各项经费开支。核实了预算批复的项目目标完成情况。经对本项目评价指标评分，本项目综合得分</w:t>
      </w:r>
      <w:r>
        <w:rPr>
          <w:rFonts w:ascii="仿宋_GB2312" w:eastAsia="仿宋_GB2312" w:hAnsi="仿宋" w:cs="仿宋_GB2312"/>
          <w:sz w:val="28"/>
          <w:szCs w:val="28"/>
        </w:rPr>
        <w:t>93</w:t>
      </w:r>
      <w:r>
        <w:rPr>
          <w:rFonts w:ascii="仿宋_GB2312" w:eastAsia="仿宋_GB2312" w:hAnsi="仿宋" w:cs="仿宋_GB2312" w:hint="eastAsia"/>
          <w:sz w:val="28"/>
          <w:szCs w:val="28"/>
        </w:rPr>
        <w:t>分，评价等级为优秀。</w:t>
      </w:r>
    </w:p>
    <w:p w:rsidR="00E95976" w:rsidRDefault="00E95976" w:rsidP="00263288">
      <w:pPr>
        <w:spacing w:after="0" w:line="500" w:lineRule="exact"/>
        <w:ind w:firstLineChars="200" w:firstLine="31680"/>
        <w:jc w:val="both"/>
        <w:rPr>
          <w:rFonts w:ascii="仿宋_GB2312" w:eastAsia="仿宋_GB2312" w:cs="Times New Roman"/>
          <w:b/>
          <w:bCs/>
          <w:sz w:val="28"/>
          <w:szCs w:val="28"/>
        </w:rPr>
      </w:pPr>
      <w:r>
        <w:rPr>
          <w:rFonts w:ascii="仿宋_GB2312" w:eastAsia="仿宋_GB2312" w:hAnsi="仿宋" w:cs="仿宋_GB2312"/>
          <w:sz w:val="28"/>
          <w:szCs w:val="28"/>
        </w:rPr>
        <w:t>(</w:t>
      </w:r>
      <w:r>
        <w:rPr>
          <w:rFonts w:ascii="仿宋_GB2312" w:eastAsia="仿宋_GB2312" w:hAnsi="仿宋" w:cs="仿宋_GB2312" w:hint="eastAsia"/>
          <w:sz w:val="28"/>
          <w:szCs w:val="28"/>
        </w:rPr>
        <w:t>三</w:t>
      </w:r>
      <w:r>
        <w:rPr>
          <w:rFonts w:ascii="仿宋_GB2312" w:eastAsia="仿宋_GB2312" w:hAnsi="仿宋" w:cs="仿宋_GB2312"/>
          <w:sz w:val="28"/>
          <w:szCs w:val="28"/>
        </w:rPr>
        <w:t>)</w:t>
      </w:r>
      <w:r>
        <w:rPr>
          <w:rFonts w:ascii="仿宋_GB2312" w:eastAsia="仿宋_GB2312" w:cs="仿宋_GB2312" w:hint="eastAsia"/>
          <w:b/>
          <w:bCs/>
          <w:sz w:val="28"/>
          <w:szCs w:val="28"/>
        </w:rPr>
        <w:t>项目绩效目标完成情况</w:t>
      </w:r>
    </w:p>
    <w:p w:rsidR="00E95976" w:rsidRDefault="00E95976" w:rsidP="00263288">
      <w:pPr>
        <w:spacing w:after="0" w:line="500" w:lineRule="exact"/>
        <w:ind w:firstLineChars="200" w:firstLine="31680"/>
        <w:jc w:val="both"/>
        <w:rPr>
          <w:rFonts w:ascii="仿宋_GB2312" w:eastAsia="仿宋_GB2312" w:hAnsi="仿宋" w:cs="Times New Roman"/>
          <w:b/>
          <w:bCs/>
          <w:kern w:val="2"/>
          <w:sz w:val="28"/>
          <w:szCs w:val="28"/>
          <w:lang w:val="en-US"/>
        </w:rPr>
      </w:pPr>
      <w:r>
        <w:rPr>
          <w:rFonts w:ascii="仿宋_GB2312" w:eastAsia="仿宋_GB2312" w:hAnsi="仿宋" w:cs="仿宋_GB2312"/>
          <w:b/>
          <w:bCs/>
          <w:kern w:val="2"/>
          <w:sz w:val="28"/>
          <w:szCs w:val="28"/>
          <w:lang w:val="en-US"/>
        </w:rPr>
        <w:t>1.</w:t>
      </w:r>
      <w:r>
        <w:rPr>
          <w:rFonts w:ascii="仿宋_GB2312" w:eastAsia="仿宋_GB2312" w:hAnsi="仿宋" w:cs="仿宋_GB2312" w:hint="eastAsia"/>
          <w:b/>
          <w:bCs/>
          <w:kern w:val="2"/>
          <w:sz w:val="28"/>
          <w:szCs w:val="28"/>
          <w:lang w:val="en-US"/>
        </w:rPr>
        <w:t>项目投入、产出目标完成情况</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年度项目财政专项资金投入</w:t>
      </w:r>
      <w:r>
        <w:rPr>
          <w:rFonts w:ascii="仿宋_GB2312" w:eastAsia="仿宋_GB2312" w:hAnsi="仿宋" w:cs="仿宋_GB2312"/>
          <w:kern w:val="2"/>
          <w:sz w:val="28"/>
          <w:szCs w:val="28"/>
          <w:lang w:val="en-US"/>
        </w:rPr>
        <w:t>234.00</w:t>
      </w:r>
      <w:r>
        <w:rPr>
          <w:rFonts w:ascii="仿宋_GB2312" w:eastAsia="仿宋_GB2312" w:hAnsi="仿宋" w:cs="仿宋_GB2312" w:hint="eastAsia"/>
          <w:kern w:val="2"/>
          <w:sz w:val="28"/>
          <w:szCs w:val="28"/>
          <w:lang w:val="en-US"/>
        </w:rPr>
        <w:t>万元，完成项目成本投入目标的</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；所有项目资金在</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w:t>
      </w:r>
      <w:r>
        <w:rPr>
          <w:rFonts w:ascii="仿宋_GB2312" w:eastAsia="仿宋_GB2312" w:hAnsi="仿宋" w:cs="仿宋_GB2312"/>
          <w:kern w:val="2"/>
          <w:sz w:val="28"/>
          <w:szCs w:val="28"/>
          <w:lang w:val="en-US"/>
        </w:rPr>
        <w:t>12</w:t>
      </w:r>
      <w:r>
        <w:rPr>
          <w:rFonts w:ascii="仿宋_GB2312" w:eastAsia="仿宋_GB2312" w:hAnsi="仿宋" w:cs="仿宋_GB2312" w:hint="eastAsia"/>
          <w:kern w:val="2"/>
          <w:sz w:val="28"/>
          <w:szCs w:val="28"/>
          <w:lang w:val="en-US"/>
        </w:rPr>
        <w:t>月底前按时、足额下达使用单位，</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完成时效目标。</w:t>
      </w:r>
    </w:p>
    <w:p w:rsidR="00E95976" w:rsidRDefault="00E95976" w:rsidP="00263288">
      <w:pPr>
        <w:spacing w:after="0" w:line="500" w:lineRule="exact"/>
        <w:ind w:firstLineChars="200" w:firstLine="31680"/>
        <w:jc w:val="both"/>
        <w:rPr>
          <w:rFonts w:ascii="仿宋_GB2312" w:eastAsia="仿宋_GB2312" w:hAnsi="仿宋" w:cs="Times New Roman"/>
          <w:b/>
          <w:bCs/>
          <w:kern w:val="2"/>
          <w:sz w:val="28"/>
          <w:szCs w:val="28"/>
          <w:lang w:val="en-US"/>
        </w:rPr>
      </w:pPr>
      <w:r>
        <w:rPr>
          <w:rFonts w:ascii="仿宋_GB2312" w:eastAsia="仿宋_GB2312" w:hAnsi="仿宋" w:cs="仿宋_GB2312"/>
          <w:b/>
          <w:bCs/>
          <w:kern w:val="2"/>
          <w:sz w:val="28"/>
          <w:szCs w:val="28"/>
          <w:lang w:val="en-US"/>
        </w:rPr>
        <w:t>2.</w:t>
      </w:r>
      <w:r>
        <w:rPr>
          <w:rFonts w:ascii="仿宋_GB2312" w:eastAsia="仿宋_GB2312" w:hAnsi="仿宋" w:cs="仿宋_GB2312" w:hint="eastAsia"/>
          <w:b/>
          <w:bCs/>
          <w:kern w:val="2"/>
          <w:sz w:val="28"/>
          <w:szCs w:val="28"/>
          <w:lang w:val="en-US"/>
        </w:rPr>
        <w:t>项目效益情况</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福建省女子司法强制隔离戒毒所</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年度戒毒人员共收治戒毒人员</w:t>
      </w:r>
      <w:r>
        <w:rPr>
          <w:rFonts w:ascii="仿宋_GB2312" w:eastAsia="仿宋_GB2312" w:hAnsi="仿宋" w:cs="仿宋_GB2312"/>
          <w:kern w:val="2"/>
          <w:sz w:val="28"/>
          <w:szCs w:val="28"/>
          <w:lang w:val="en-US"/>
        </w:rPr>
        <w:t>6440</w:t>
      </w:r>
      <w:r>
        <w:rPr>
          <w:rFonts w:ascii="仿宋_GB2312" w:eastAsia="仿宋_GB2312" w:hAnsi="仿宋" w:cs="仿宋_GB2312" w:hint="eastAsia"/>
          <w:kern w:val="2"/>
          <w:sz w:val="28"/>
          <w:szCs w:val="28"/>
          <w:lang w:val="en-US"/>
        </w:rPr>
        <w:t>人次，平均月在所人员</w:t>
      </w:r>
      <w:r>
        <w:rPr>
          <w:rFonts w:ascii="仿宋_GB2312" w:eastAsia="仿宋_GB2312" w:hAnsi="仿宋" w:cs="仿宋_GB2312"/>
          <w:kern w:val="2"/>
          <w:sz w:val="28"/>
          <w:szCs w:val="28"/>
          <w:lang w:val="en-US"/>
        </w:rPr>
        <w:t>537</w:t>
      </w:r>
      <w:r>
        <w:rPr>
          <w:rFonts w:ascii="仿宋_GB2312" w:eastAsia="仿宋_GB2312" w:hAnsi="仿宋" w:cs="仿宋_GB2312" w:hint="eastAsia"/>
          <w:kern w:val="2"/>
          <w:sz w:val="28"/>
          <w:szCs w:val="28"/>
          <w:lang w:val="en-US"/>
        </w:rPr>
        <w:t>人。坚持“以人为本、科学戒毒、综合矫治、关怀救助”的戒毒工作原则，积极探索科学戒毒模式，重点在人本管理上进行了戒毒工作方法的创新，突出“两个提倡”：提倡教育性管理和帮扶性执法，并根据女性戒毒人员的特点，推行“情感管理”，强化管理理念“三定位”</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把戒毒人员当作“亲人、友人、病人”，打造“三像”</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像家庭、像学校、像医院”三位一体的戒治环境，提升了场所戒毒工作的软实力和戒治效果。福建省女子司法强制隔离戒毒所能提供科学合理的营养供给，为配合戒毒治疗、康复训练等工作提供基本保障，帮助强戒人员减轻戒断反应，促进身体健康，巩固戒毒效果，根据诊断评估对减轻戒断反应起到很好作用。</w:t>
      </w:r>
    </w:p>
    <w:p w:rsidR="00E95976" w:rsidRDefault="00E95976" w:rsidP="00263288">
      <w:pPr>
        <w:spacing w:after="0" w:line="46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（四）项目绩效分析</w:t>
      </w:r>
    </w:p>
    <w:tbl>
      <w:tblPr>
        <w:tblW w:w="9267" w:type="dxa"/>
        <w:jc w:val="center"/>
        <w:tblLayout w:type="fixed"/>
        <w:tblLook w:val="00A0"/>
      </w:tblPr>
      <w:tblGrid>
        <w:gridCol w:w="715"/>
        <w:gridCol w:w="888"/>
        <w:gridCol w:w="1511"/>
        <w:gridCol w:w="4374"/>
        <w:gridCol w:w="678"/>
        <w:gridCol w:w="1101"/>
      </w:tblGrid>
      <w:tr w:rsidR="00E95976">
        <w:trPr>
          <w:cantSplit/>
          <w:tblHeader/>
          <w:jc w:val="center"/>
        </w:trPr>
        <w:tc>
          <w:tcPr>
            <w:tcW w:w="715" w:type="dxa"/>
            <w:tcBorders>
              <w:top w:val="single" w:sz="8"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一级指标</w:t>
            </w:r>
          </w:p>
        </w:tc>
        <w:tc>
          <w:tcPr>
            <w:tcW w:w="888" w:type="dxa"/>
            <w:tcBorders>
              <w:top w:val="single" w:sz="8"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二级指标</w:t>
            </w:r>
          </w:p>
        </w:tc>
        <w:tc>
          <w:tcPr>
            <w:tcW w:w="1511" w:type="dxa"/>
            <w:tcBorders>
              <w:top w:val="single" w:sz="8"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三级指标</w:t>
            </w:r>
          </w:p>
        </w:tc>
        <w:tc>
          <w:tcPr>
            <w:tcW w:w="4374" w:type="dxa"/>
            <w:tcBorders>
              <w:top w:val="single" w:sz="8"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评分标准</w:t>
            </w:r>
          </w:p>
        </w:tc>
        <w:tc>
          <w:tcPr>
            <w:tcW w:w="678" w:type="dxa"/>
            <w:tcBorders>
              <w:top w:val="single" w:sz="8"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权重</w:t>
            </w:r>
          </w:p>
        </w:tc>
        <w:tc>
          <w:tcPr>
            <w:tcW w:w="1101" w:type="dxa"/>
            <w:tcBorders>
              <w:top w:val="single" w:sz="8"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得分</w:t>
            </w:r>
          </w:p>
        </w:tc>
      </w:tr>
      <w:tr w:rsidR="00E95976">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投入（</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tcBorders>
              <w:top w:val="nil"/>
              <w:left w:val="single" w:sz="4" w:space="0" w:color="auto"/>
              <w:bottom w:val="single" w:sz="4" w:space="0" w:color="000000"/>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时效情况</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项目实施时间与计划时间的差异情况</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实际实施月份不晚于计划月份得满分，比计划月份晚</w:t>
            </w:r>
            <w:r>
              <w:rPr>
                <w:rFonts w:ascii="仿宋_GB2312" w:eastAsia="仿宋_GB2312" w:hAnsi="宋体" w:cs="仿宋_GB2312"/>
                <w:sz w:val="21"/>
                <w:szCs w:val="21"/>
              </w:rPr>
              <w:t>1</w:t>
            </w:r>
            <w:r>
              <w:rPr>
                <w:rFonts w:ascii="仿宋_GB2312" w:eastAsia="仿宋_GB2312" w:hAnsi="宋体" w:cs="仿宋_GB2312" w:hint="eastAsia"/>
                <w:sz w:val="21"/>
                <w:szCs w:val="21"/>
              </w:rPr>
              <w:t>个月以内扣</w:t>
            </w:r>
            <w:r>
              <w:rPr>
                <w:rFonts w:ascii="仿宋_GB2312" w:eastAsia="仿宋_GB2312" w:hAnsi="宋体" w:cs="仿宋_GB2312"/>
                <w:sz w:val="21"/>
                <w:szCs w:val="21"/>
              </w:rPr>
              <w:t>1</w:t>
            </w:r>
            <w:r>
              <w:rPr>
                <w:rFonts w:ascii="仿宋_GB2312" w:eastAsia="仿宋_GB2312" w:hAnsi="宋体" w:cs="仿宋_GB2312" w:hint="eastAsia"/>
                <w:sz w:val="21"/>
                <w:szCs w:val="21"/>
              </w:rPr>
              <w:t>分，比计划月份晚</w:t>
            </w:r>
            <w:r>
              <w:rPr>
                <w:rFonts w:ascii="仿宋_GB2312" w:eastAsia="仿宋_GB2312" w:hAnsi="宋体" w:cs="仿宋_GB2312"/>
                <w:sz w:val="21"/>
                <w:szCs w:val="21"/>
              </w:rPr>
              <w:t>1</w:t>
            </w:r>
            <w:r>
              <w:rPr>
                <w:rFonts w:ascii="仿宋_GB2312" w:eastAsia="仿宋_GB2312" w:hAnsi="宋体" w:cs="仿宋_GB2312" w:hint="eastAsia"/>
                <w:sz w:val="21"/>
                <w:szCs w:val="21"/>
              </w:rPr>
              <w:t>个月以上不得分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项目立项</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绩效目标合理性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①是否与项目年度任务数或计划数相对应；②是否与预算确定的项目投资额或资金量相匹配。一项不符合扣一分，严重的此项完全不得分。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绩效目标明确性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①是否将项目绩效目标细化分解为具体的绩效指标；②是否通过清晰、可衡量的指标值予以体现。一项不符合扣一分，严重的此项完全不得分。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绩效指标完成率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r>
              <w:rPr>
                <w:rFonts w:ascii="仿宋_GB2312" w:eastAsia="仿宋_GB2312" w:hAnsi="宋体" w:cs="仿宋_GB2312"/>
                <w:sz w:val="21"/>
                <w:szCs w:val="21"/>
              </w:rPr>
              <w:t>E=</w:t>
            </w:r>
            <w:r>
              <w:rPr>
                <w:rFonts w:ascii="仿宋_GB2312" w:eastAsia="仿宋_GB2312" w:hAnsi="宋体" w:cs="仿宋_GB2312" w:hint="eastAsia"/>
                <w:sz w:val="21"/>
                <w:szCs w:val="21"/>
              </w:rPr>
              <w:t>目标实际完成数</w:t>
            </w:r>
            <w:r>
              <w:rPr>
                <w:rFonts w:ascii="仿宋_GB2312" w:eastAsia="仿宋_GB2312" w:hAnsi="宋体" w:cs="仿宋_GB2312"/>
                <w:sz w:val="21"/>
                <w:szCs w:val="21"/>
              </w:rPr>
              <w:t>/</w:t>
            </w:r>
            <w:r>
              <w:rPr>
                <w:rFonts w:ascii="仿宋_GB2312" w:eastAsia="仿宋_GB2312" w:hAnsi="宋体" w:cs="仿宋_GB2312" w:hint="eastAsia"/>
                <w:sz w:val="21"/>
                <w:szCs w:val="21"/>
              </w:rPr>
              <w:t>期初目标编制数，本指标得分为指标权重×</w:t>
            </w:r>
            <w:r>
              <w:rPr>
                <w:rFonts w:ascii="仿宋_GB2312" w:eastAsia="仿宋_GB2312" w:hAnsi="宋体" w:cs="仿宋_GB2312"/>
                <w:sz w:val="21"/>
                <w:szCs w:val="21"/>
              </w:rPr>
              <w:t>E</w:t>
            </w:r>
            <w:r>
              <w:rPr>
                <w:rFonts w:ascii="仿宋_GB2312" w:eastAsia="仿宋_GB2312" w:hAnsi="宋体" w:cs="仿宋_GB2312" w:hint="eastAsia"/>
                <w:sz w:val="21"/>
                <w:szCs w:val="21"/>
              </w:rPr>
              <w:t>。</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项目立项规范性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①项目是否按照规定的程序申请立项；②所提交的文件、材料是否符合相关要求；③事前是否已经过必要的可行性研究、专家论证、风险评估、集体决策等。一项不符合扣一分，严重的此项完全不得分。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资金落实</w:t>
            </w: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成本控制率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①成本控制率</w:t>
            </w:r>
            <w:r>
              <w:rPr>
                <w:rFonts w:ascii="仿宋_GB2312" w:eastAsia="仿宋_GB2312" w:hAnsi="宋体" w:cs="仿宋_GB2312"/>
                <w:sz w:val="21"/>
                <w:szCs w:val="21"/>
              </w:rPr>
              <w:t>A=</w:t>
            </w:r>
            <w:r>
              <w:rPr>
                <w:rFonts w:ascii="仿宋_GB2312" w:eastAsia="仿宋_GB2312" w:hAnsi="宋体" w:cs="仿宋_GB2312" w:hint="eastAsia"/>
                <w:sz w:val="21"/>
                <w:szCs w:val="21"/>
              </w:rPr>
              <w:t>截至年末累计支出数</w:t>
            </w:r>
            <w:r>
              <w:rPr>
                <w:rFonts w:ascii="仿宋_GB2312" w:eastAsia="仿宋_GB2312" w:hAnsi="宋体" w:cs="仿宋_GB2312"/>
                <w:sz w:val="21"/>
                <w:szCs w:val="21"/>
              </w:rPr>
              <w:t>/</w:t>
            </w:r>
            <w:r>
              <w:rPr>
                <w:rFonts w:ascii="仿宋_GB2312" w:eastAsia="仿宋_GB2312" w:hAnsi="宋体" w:cs="仿宋_GB2312" w:hint="eastAsia"/>
                <w:sz w:val="21"/>
                <w:szCs w:val="21"/>
              </w:rPr>
              <w:t>项目概算或当年预算数。</w:t>
            </w:r>
            <w:r>
              <w:rPr>
                <w:rFonts w:ascii="仿宋_GB2312" w:eastAsia="仿宋_GB2312" w:hAnsi="宋体" w:cs="仿宋_GB2312"/>
                <w:sz w:val="21"/>
                <w:szCs w:val="21"/>
              </w:rPr>
              <w:t>A</w:t>
            </w:r>
            <w:r>
              <w:rPr>
                <w:rFonts w:ascii="仿宋_GB2312" w:hAnsi="宋体" w:cs="宋体" w:hint="eastAsia"/>
                <w:sz w:val="21"/>
                <w:szCs w:val="21"/>
              </w:rPr>
              <w:t>≦</w:t>
            </w:r>
            <w:r>
              <w:rPr>
                <w:rFonts w:ascii="仿宋_GB2312" w:eastAsia="仿宋_GB2312" w:hAnsi="宋体" w:cs="仿宋_GB2312"/>
                <w:sz w:val="21"/>
                <w:szCs w:val="21"/>
              </w:rPr>
              <w:t>100%</w:t>
            </w:r>
            <w:r>
              <w:rPr>
                <w:rFonts w:ascii="仿宋_GB2312" w:eastAsia="仿宋_GB2312" w:hAnsi="宋体" w:cs="仿宋_GB2312" w:hint="eastAsia"/>
                <w:sz w:val="21"/>
                <w:szCs w:val="21"/>
              </w:rPr>
              <w:t>得满分；</w:t>
            </w:r>
            <w:r>
              <w:rPr>
                <w:rFonts w:ascii="仿宋_GB2312" w:eastAsia="仿宋_GB2312" w:hAnsi="宋体" w:cs="仿宋_GB2312"/>
                <w:sz w:val="21"/>
                <w:szCs w:val="21"/>
              </w:rPr>
              <w:t>100%</w:t>
            </w:r>
            <w:r>
              <w:rPr>
                <w:rFonts w:ascii="仿宋_GB2312" w:hAnsi="宋体" w:cs="宋体" w:hint="eastAsia"/>
                <w:sz w:val="21"/>
                <w:szCs w:val="21"/>
              </w:rPr>
              <w:t>﹤</w:t>
            </w:r>
            <w:r>
              <w:rPr>
                <w:rFonts w:ascii="仿宋_GB2312" w:eastAsia="仿宋_GB2312" w:hAnsi="宋体" w:cs="仿宋_GB2312"/>
                <w:sz w:val="21"/>
                <w:szCs w:val="21"/>
              </w:rPr>
              <w:t>A</w:t>
            </w:r>
            <w:r>
              <w:rPr>
                <w:rFonts w:ascii="仿宋_GB2312" w:hAnsi="宋体" w:cs="宋体" w:hint="eastAsia"/>
                <w:sz w:val="21"/>
                <w:szCs w:val="21"/>
              </w:rPr>
              <w:t>≦</w:t>
            </w:r>
            <w:r>
              <w:rPr>
                <w:rFonts w:ascii="仿宋_GB2312" w:eastAsia="仿宋_GB2312" w:hAnsi="宋体" w:cs="仿宋_GB2312"/>
                <w:sz w:val="21"/>
                <w:szCs w:val="21"/>
              </w:rPr>
              <w:t>103%</w:t>
            </w:r>
            <w:r>
              <w:rPr>
                <w:rFonts w:ascii="仿宋_GB2312" w:eastAsia="仿宋_GB2312" w:hAnsi="宋体" w:cs="仿宋_GB2312" w:hint="eastAsia"/>
                <w:sz w:val="21"/>
                <w:szCs w:val="21"/>
              </w:rPr>
              <w:t>时，得分为此项指标满分值</w:t>
            </w:r>
            <w:r>
              <w:rPr>
                <w:rFonts w:ascii="仿宋_GB2312" w:eastAsia="仿宋_GB2312" w:hAnsi="宋体" w:cs="仿宋_GB2312"/>
                <w:sz w:val="21"/>
                <w:szCs w:val="21"/>
              </w:rPr>
              <w:t>-100</w:t>
            </w:r>
            <w:r>
              <w:rPr>
                <w:rFonts w:ascii="仿宋_GB2312" w:eastAsia="仿宋_GB2312" w:hAnsi="宋体" w:cs="仿宋_GB2312" w:hint="eastAsia"/>
                <w:sz w:val="21"/>
                <w:szCs w:val="21"/>
              </w:rPr>
              <w:t>×（</w:t>
            </w:r>
            <w:r>
              <w:rPr>
                <w:rFonts w:ascii="仿宋_GB2312" w:eastAsia="仿宋_GB2312" w:hAnsi="宋体" w:cs="仿宋_GB2312"/>
                <w:sz w:val="21"/>
                <w:szCs w:val="21"/>
              </w:rPr>
              <w:t>A-100%</w:t>
            </w:r>
            <w:r>
              <w:rPr>
                <w:rFonts w:ascii="仿宋_GB2312" w:eastAsia="仿宋_GB2312" w:hAnsi="宋体" w:cs="仿宋_GB2312" w:hint="eastAsia"/>
                <w:sz w:val="21"/>
                <w:szCs w:val="21"/>
              </w:rPr>
              <w:t>）（如：</w:t>
            </w:r>
            <w:r>
              <w:rPr>
                <w:rFonts w:ascii="仿宋_GB2312" w:eastAsia="仿宋_GB2312" w:hAnsi="宋体" w:cs="仿宋_GB2312"/>
                <w:sz w:val="21"/>
                <w:szCs w:val="21"/>
              </w:rPr>
              <w:t>A=102.8%</w:t>
            </w:r>
            <w:r>
              <w:rPr>
                <w:rFonts w:ascii="仿宋_GB2312" w:eastAsia="仿宋_GB2312" w:hAnsi="宋体" w:cs="仿宋_GB2312" w:hint="eastAsia"/>
                <w:sz w:val="21"/>
                <w:szCs w:val="21"/>
              </w:rPr>
              <w:t>，此项指标权重</w:t>
            </w:r>
            <w:r>
              <w:rPr>
                <w:rFonts w:ascii="仿宋_GB2312" w:eastAsia="仿宋_GB2312" w:hAnsi="宋体" w:cs="仿宋_GB2312"/>
                <w:sz w:val="21"/>
                <w:szCs w:val="21"/>
              </w:rPr>
              <w:t>3</w:t>
            </w:r>
            <w:r>
              <w:rPr>
                <w:rFonts w:ascii="仿宋_GB2312" w:eastAsia="仿宋_GB2312" w:hAnsi="宋体" w:cs="仿宋_GB2312" w:hint="eastAsia"/>
                <w:sz w:val="21"/>
                <w:szCs w:val="21"/>
              </w:rPr>
              <w:t>分，则得分为</w:t>
            </w:r>
            <w:r>
              <w:rPr>
                <w:rFonts w:ascii="仿宋_GB2312" w:eastAsia="仿宋_GB2312" w:hAnsi="宋体" w:cs="仿宋_GB2312"/>
                <w:sz w:val="21"/>
                <w:szCs w:val="21"/>
              </w:rPr>
              <w:t>3-2.8=0.2</w:t>
            </w:r>
            <w:r>
              <w:rPr>
                <w:rFonts w:ascii="仿宋_GB2312" w:eastAsia="仿宋_GB2312" w:hAnsi="宋体" w:cs="仿宋_GB2312" w:hint="eastAsia"/>
                <w:sz w:val="21"/>
                <w:szCs w:val="21"/>
              </w:rPr>
              <w:t>分），</w:t>
            </w:r>
            <w:r>
              <w:rPr>
                <w:rFonts w:ascii="仿宋_GB2312" w:eastAsia="仿宋_GB2312" w:hAnsi="宋体" w:cs="仿宋_GB2312"/>
                <w:sz w:val="21"/>
                <w:szCs w:val="21"/>
              </w:rPr>
              <w:t>A</w:t>
            </w:r>
            <w:r>
              <w:rPr>
                <w:rFonts w:ascii="仿宋_GB2312" w:eastAsia="仿宋_GB2312" w:hAnsi="宋体" w:cs="仿宋_GB2312" w:hint="eastAsia"/>
                <w:sz w:val="21"/>
                <w:szCs w:val="21"/>
              </w:rPr>
              <w:t>＞</w:t>
            </w:r>
            <w:r>
              <w:rPr>
                <w:rFonts w:ascii="仿宋_GB2312" w:eastAsia="仿宋_GB2312" w:hAnsi="宋体" w:cs="仿宋_GB2312"/>
                <w:sz w:val="21"/>
                <w:szCs w:val="21"/>
              </w:rPr>
              <w:t>103%</w:t>
            </w:r>
            <w:r>
              <w:rPr>
                <w:rFonts w:ascii="仿宋_GB2312" w:eastAsia="仿宋_GB2312" w:hAnsi="宋体" w:cs="仿宋_GB2312" w:hint="eastAsia"/>
                <w:sz w:val="21"/>
                <w:szCs w:val="21"/>
              </w:rPr>
              <w:t>时不得分）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0</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资金到位率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资金到位率</w:t>
            </w:r>
            <w:r>
              <w:rPr>
                <w:rFonts w:ascii="仿宋_GB2312" w:eastAsia="仿宋_GB2312" w:hAnsi="宋体" w:cs="仿宋_GB2312"/>
                <w:sz w:val="21"/>
                <w:szCs w:val="21"/>
              </w:rPr>
              <w:t>=</w:t>
            </w:r>
            <w:r>
              <w:rPr>
                <w:rFonts w:ascii="仿宋_GB2312" w:eastAsia="仿宋_GB2312" w:hAnsi="宋体" w:cs="仿宋_GB2312" w:hint="eastAsia"/>
                <w:sz w:val="21"/>
                <w:szCs w:val="21"/>
              </w:rPr>
              <w:t>（实际到位资金</w:t>
            </w:r>
            <w:r>
              <w:rPr>
                <w:rFonts w:ascii="仿宋_GB2312" w:eastAsia="仿宋_GB2312" w:hAnsi="宋体" w:cs="仿宋_GB2312"/>
                <w:sz w:val="21"/>
                <w:szCs w:val="21"/>
              </w:rPr>
              <w:t>/</w:t>
            </w:r>
            <w:r>
              <w:rPr>
                <w:rFonts w:ascii="仿宋_GB2312" w:eastAsia="仿宋_GB2312" w:hAnsi="宋体" w:cs="仿宋_GB2312" w:hint="eastAsia"/>
                <w:sz w:val="21"/>
                <w:szCs w:val="21"/>
              </w:rPr>
              <w:t>计划投入资金）×</w:t>
            </w:r>
            <w:r>
              <w:rPr>
                <w:rFonts w:ascii="仿宋_GB2312" w:eastAsia="仿宋_GB2312" w:hAnsi="宋体" w:cs="仿宋_GB2312"/>
                <w:sz w:val="21"/>
                <w:szCs w:val="21"/>
              </w:rPr>
              <w:t>100%</w:t>
            </w:r>
            <w:r>
              <w:rPr>
                <w:rFonts w:ascii="仿宋_GB2312" w:eastAsia="仿宋_GB2312" w:hAnsi="宋体" w:cs="仿宋_GB2312" w:hint="eastAsia"/>
                <w:sz w:val="21"/>
                <w:szCs w:val="21"/>
              </w:rPr>
              <w:t>。资金到位率大于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的得满分，每少</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到位及时率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到位及时率</w:t>
            </w:r>
            <w:r>
              <w:rPr>
                <w:rFonts w:ascii="仿宋_GB2312" w:eastAsia="仿宋_GB2312" w:hAnsi="宋体" w:cs="仿宋_GB2312"/>
                <w:sz w:val="21"/>
                <w:szCs w:val="21"/>
              </w:rPr>
              <w:t>=</w:t>
            </w:r>
            <w:r>
              <w:rPr>
                <w:rFonts w:ascii="仿宋_GB2312" w:eastAsia="仿宋_GB2312" w:hAnsi="宋体" w:cs="仿宋_GB2312" w:hint="eastAsia"/>
                <w:sz w:val="21"/>
                <w:szCs w:val="21"/>
              </w:rPr>
              <w:t>（及时到位资金</w:t>
            </w:r>
            <w:r>
              <w:rPr>
                <w:rFonts w:ascii="仿宋_GB2312" w:eastAsia="仿宋_GB2312" w:hAnsi="宋体" w:cs="仿宋_GB2312"/>
                <w:sz w:val="21"/>
                <w:szCs w:val="21"/>
              </w:rPr>
              <w:t>/</w:t>
            </w:r>
            <w:r>
              <w:rPr>
                <w:rFonts w:ascii="仿宋_GB2312" w:eastAsia="仿宋_GB2312" w:hAnsi="宋体" w:cs="仿宋_GB2312" w:hint="eastAsia"/>
                <w:sz w:val="21"/>
                <w:szCs w:val="21"/>
              </w:rPr>
              <w:t>应到位资金）×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。到位及时率大于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的得满分，每低</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个百分点，扣一分，扣完为止。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资金使用率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资金使用率</w:t>
            </w:r>
            <w:r>
              <w:rPr>
                <w:rFonts w:ascii="仿宋_GB2312" w:eastAsia="仿宋_GB2312" w:hAnsi="宋体" w:cs="仿宋_GB2312"/>
                <w:sz w:val="21"/>
                <w:szCs w:val="21"/>
              </w:rPr>
              <w:t>=</w:t>
            </w:r>
            <w:r>
              <w:rPr>
                <w:rFonts w:ascii="仿宋_GB2312" w:eastAsia="仿宋_GB2312" w:hAnsi="宋体" w:cs="仿宋_GB2312" w:hint="eastAsia"/>
                <w:sz w:val="21"/>
                <w:szCs w:val="21"/>
              </w:rPr>
              <w:t>（实际使用资金</w:t>
            </w:r>
            <w:r>
              <w:rPr>
                <w:rFonts w:ascii="仿宋_GB2312" w:eastAsia="仿宋_GB2312" w:hAnsi="宋体" w:cs="仿宋_GB2312"/>
                <w:sz w:val="21"/>
                <w:szCs w:val="21"/>
              </w:rPr>
              <w:t>/</w:t>
            </w:r>
            <w:r>
              <w:rPr>
                <w:rFonts w:ascii="仿宋_GB2312" w:eastAsia="仿宋_GB2312" w:hAnsi="宋体" w:cs="仿宋_GB2312" w:hint="eastAsia"/>
                <w:sz w:val="21"/>
                <w:szCs w:val="21"/>
              </w:rPr>
              <w:t>实际到位资金）×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。资金使用率大于</w:t>
            </w:r>
            <w:r>
              <w:rPr>
                <w:rFonts w:ascii="仿宋_GB2312" w:eastAsia="仿宋_GB2312" w:hAnsi="宋体" w:cs="仿宋_GB2312"/>
                <w:sz w:val="21"/>
                <w:szCs w:val="21"/>
              </w:rPr>
              <w:t>95%</w:t>
            </w:r>
            <w:r>
              <w:rPr>
                <w:rFonts w:ascii="仿宋_GB2312" w:eastAsia="仿宋_GB2312" w:hAnsi="宋体" w:cs="仿宋_GB2312" w:hint="eastAsia"/>
                <w:sz w:val="21"/>
                <w:szCs w:val="21"/>
              </w:rPr>
              <w:t>的得满分，每少</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财政投入乘数</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财政投入乘数</w:t>
            </w:r>
            <w:r>
              <w:rPr>
                <w:rFonts w:ascii="仿宋_GB2312" w:eastAsia="仿宋_GB2312" w:hAnsi="宋体" w:cs="仿宋_GB2312"/>
                <w:sz w:val="21"/>
                <w:szCs w:val="21"/>
              </w:rPr>
              <w:t>=</w:t>
            </w:r>
            <w:r>
              <w:rPr>
                <w:rFonts w:ascii="仿宋_GB2312" w:eastAsia="仿宋_GB2312" w:hAnsi="宋体" w:cs="仿宋_GB2312" w:hint="eastAsia"/>
                <w:sz w:val="21"/>
                <w:szCs w:val="21"/>
              </w:rPr>
              <w:t>非财政资金投入</w:t>
            </w:r>
            <w:r>
              <w:rPr>
                <w:rFonts w:ascii="仿宋_GB2312" w:eastAsia="仿宋_GB2312" w:hAnsi="宋体" w:cs="仿宋_GB2312"/>
                <w:sz w:val="21"/>
                <w:szCs w:val="21"/>
              </w:rPr>
              <w:t>/</w:t>
            </w:r>
            <w:r>
              <w:rPr>
                <w:rFonts w:ascii="仿宋_GB2312" w:eastAsia="仿宋_GB2312" w:hAnsi="宋体" w:cs="仿宋_GB2312" w:hint="eastAsia"/>
                <w:sz w:val="21"/>
                <w:szCs w:val="21"/>
              </w:rPr>
              <w:t>财政资金投入。财政投入乘数达到或超过预期的得满分，较预期每差</w:t>
            </w:r>
            <w:r>
              <w:rPr>
                <w:rFonts w:ascii="仿宋_GB2312" w:eastAsia="仿宋_GB2312" w:hAnsi="宋体" w:cs="仿宋_GB2312"/>
                <w:sz w:val="21"/>
                <w:szCs w:val="21"/>
              </w:rPr>
              <w:t>10</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过程</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vMerge w:val="restart"/>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目标的合理性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项目目标是否根据相应规定；是否符合规定要求。一项不符合扣一分，严重的此项完全不得分。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r>
              <w:rPr>
                <w:rFonts w:ascii="仿宋_GB2312" w:eastAsia="仿宋_GB2312" w:hAnsi="宋体" w:cs="仿宋_GB2312"/>
                <w:sz w:val="21"/>
                <w:szCs w:val="21"/>
              </w:rPr>
              <w:t>=</w:t>
            </w:r>
            <w:r>
              <w:rPr>
                <w:rFonts w:ascii="仿宋_GB2312" w:eastAsia="仿宋_GB2312" w:hAnsi="宋体" w:cs="仿宋_GB2312" w:hint="eastAsia"/>
                <w:sz w:val="21"/>
                <w:szCs w:val="21"/>
              </w:rPr>
              <w:t>（目标完成资金</w:t>
            </w:r>
            <w:r>
              <w:rPr>
                <w:rFonts w:ascii="仿宋_GB2312" w:eastAsia="仿宋_GB2312" w:hAnsi="宋体" w:cs="仿宋_GB2312"/>
                <w:sz w:val="21"/>
                <w:szCs w:val="21"/>
              </w:rPr>
              <w:t>/</w:t>
            </w:r>
            <w:r>
              <w:rPr>
                <w:rFonts w:ascii="仿宋_GB2312" w:eastAsia="仿宋_GB2312" w:hAnsi="宋体" w:cs="仿宋_GB2312" w:hint="eastAsia"/>
                <w:sz w:val="21"/>
                <w:szCs w:val="21"/>
              </w:rPr>
              <w:t>目标到位资金）×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。到位及时率大于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的得满分，每低</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个百分点，扣一分，扣完为止。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组织管理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管理制度保障</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制度健全得</w:t>
            </w:r>
            <w:r>
              <w:rPr>
                <w:rFonts w:ascii="仿宋_GB2312" w:eastAsia="仿宋_GB2312" w:hAnsi="宋体" w:cs="仿宋_GB2312"/>
                <w:sz w:val="21"/>
                <w:szCs w:val="21"/>
              </w:rPr>
              <w:t>5</w:t>
            </w:r>
            <w:r>
              <w:rPr>
                <w:rFonts w:ascii="仿宋_GB2312" w:eastAsia="仿宋_GB2312" w:hAnsi="宋体" w:cs="仿宋_GB2312" w:hint="eastAsia"/>
                <w:sz w:val="21"/>
                <w:szCs w:val="21"/>
              </w:rPr>
              <w:t>分，制度比较健全得</w:t>
            </w:r>
            <w:r>
              <w:rPr>
                <w:rFonts w:ascii="仿宋_GB2312" w:eastAsia="仿宋_GB2312" w:hAnsi="宋体" w:cs="仿宋_GB2312"/>
                <w:sz w:val="21"/>
                <w:szCs w:val="21"/>
              </w:rPr>
              <w:t>3</w:t>
            </w:r>
            <w:r>
              <w:rPr>
                <w:rFonts w:ascii="仿宋_GB2312" w:eastAsia="仿宋_GB2312" w:hAnsi="宋体" w:cs="仿宋_GB2312" w:hint="eastAsia"/>
                <w:sz w:val="21"/>
                <w:szCs w:val="21"/>
              </w:rPr>
              <w:t>分，制度不健全得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支撑条件保障</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好得</w:t>
            </w:r>
            <w:r>
              <w:rPr>
                <w:rFonts w:ascii="仿宋_GB2312" w:eastAsia="仿宋_GB2312" w:hAnsi="宋体" w:cs="仿宋_GB2312"/>
                <w:sz w:val="21"/>
                <w:szCs w:val="21"/>
              </w:rPr>
              <w:t>5</w:t>
            </w:r>
            <w:r>
              <w:rPr>
                <w:rFonts w:ascii="仿宋_GB2312" w:eastAsia="仿宋_GB2312" w:hAnsi="宋体" w:cs="仿宋_GB2312" w:hint="eastAsia"/>
                <w:sz w:val="21"/>
                <w:szCs w:val="21"/>
              </w:rPr>
              <w:t>分，良好得</w:t>
            </w:r>
            <w:r>
              <w:rPr>
                <w:rFonts w:ascii="仿宋_GB2312" w:eastAsia="仿宋_GB2312" w:hAnsi="宋体" w:cs="仿宋_GB2312"/>
                <w:sz w:val="21"/>
                <w:szCs w:val="21"/>
              </w:rPr>
              <w:t>3</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分，差得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一级指标</w:t>
            </w:r>
          </w:p>
        </w:tc>
        <w:tc>
          <w:tcPr>
            <w:tcW w:w="88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二级指标</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三级指标</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评分标准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权重</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得分</w:t>
            </w:r>
          </w:p>
        </w:tc>
      </w:tr>
      <w:tr w:rsidR="00E95976">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过程</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vMerge w:val="restart"/>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财务制度健全性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制度健全得</w:t>
            </w:r>
            <w:r>
              <w:rPr>
                <w:rFonts w:ascii="仿宋_GB2312" w:eastAsia="仿宋_GB2312" w:hAnsi="宋体" w:cs="仿宋_GB2312"/>
                <w:sz w:val="21"/>
                <w:szCs w:val="21"/>
              </w:rPr>
              <w:t>5</w:t>
            </w:r>
            <w:r>
              <w:rPr>
                <w:rFonts w:ascii="仿宋_GB2312" w:eastAsia="仿宋_GB2312" w:hAnsi="宋体" w:cs="仿宋_GB2312" w:hint="eastAsia"/>
                <w:sz w:val="21"/>
                <w:szCs w:val="21"/>
              </w:rPr>
              <w:t>分，制度比较健全得</w:t>
            </w:r>
            <w:r>
              <w:rPr>
                <w:rFonts w:ascii="仿宋_GB2312" w:eastAsia="仿宋_GB2312" w:hAnsi="宋体" w:cs="仿宋_GB2312"/>
                <w:sz w:val="21"/>
                <w:szCs w:val="21"/>
              </w:rPr>
              <w:t>3</w:t>
            </w:r>
            <w:r>
              <w:rPr>
                <w:rFonts w:ascii="仿宋_GB2312" w:eastAsia="仿宋_GB2312" w:hAnsi="宋体" w:cs="仿宋_GB2312" w:hint="eastAsia"/>
                <w:sz w:val="21"/>
                <w:szCs w:val="21"/>
              </w:rPr>
              <w:t>分，制度不健全得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财务管理有效性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好得</w:t>
            </w:r>
            <w:r>
              <w:rPr>
                <w:rFonts w:ascii="仿宋_GB2312" w:eastAsia="仿宋_GB2312" w:hAnsi="宋体" w:cs="仿宋_GB2312"/>
                <w:sz w:val="21"/>
                <w:szCs w:val="21"/>
              </w:rPr>
              <w:t>5</w:t>
            </w:r>
            <w:r>
              <w:rPr>
                <w:rFonts w:ascii="仿宋_GB2312" w:eastAsia="仿宋_GB2312" w:hAnsi="宋体" w:cs="仿宋_GB2312" w:hint="eastAsia"/>
                <w:sz w:val="21"/>
                <w:szCs w:val="21"/>
              </w:rPr>
              <w:t>分，较好得</w:t>
            </w:r>
            <w:r>
              <w:rPr>
                <w:rFonts w:ascii="仿宋_GB2312" w:eastAsia="仿宋_GB2312" w:hAnsi="宋体" w:cs="仿宋_GB2312"/>
                <w:sz w:val="21"/>
                <w:szCs w:val="21"/>
              </w:rPr>
              <w:t>3</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分，差得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产出与效益</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40%</w:t>
            </w:r>
            <w:r>
              <w:rPr>
                <w:rFonts w:ascii="仿宋_GB2312" w:eastAsia="仿宋_GB2312" w:hAnsi="宋体" w:cs="仿宋_GB2312" w:hint="eastAsia"/>
                <w:sz w:val="21"/>
                <w:szCs w:val="21"/>
              </w:rPr>
              <w:t>）</w:t>
            </w: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产出数量</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产成品</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目标合理</w:t>
            </w:r>
            <w:r>
              <w:rPr>
                <w:rFonts w:ascii="仿宋_GB2312" w:eastAsia="仿宋_GB2312" w:hAnsi="宋体" w:cs="仿宋_GB2312"/>
                <w:sz w:val="21"/>
                <w:szCs w:val="21"/>
              </w:rPr>
              <w:t>5</w:t>
            </w:r>
            <w:r>
              <w:rPr>
                <w:rFonts w:ascii="仿宋_GB2312" w:eastAsia="仿宋_GB2312" w:hAnsi="宋体" w:cs="仿宋_GB2312" w:hint="eastAsia"/>
                <w:sz w:val="21"/>
                <w:szCs w:val="21"/>
              </w:rPr>
              <w:t>分，比较合理得</w:t>
            </w:r>
            <w:r>
              <w:rPr>
                <w:rFonts w:ascii="仿宋_GB2312" w:eastAsia="仿宋_GB2312" w:hAnsi="宋体" w:cs="仿宋_GB2312"/>
                <w:sz w:val="21"/>
                <w:szCs w:val="21"/>
              </w:rPr>
              <w:t>3</w:t>
            </w:r>
            <w:r>
              <w:rPr>
                <w:rFonts w:ascii="仿宋_GB2312" w:eastAsia="仿宋_GB2312" w:hAnsi="宋体" w:cs="仿宋_GB2312" w:hint="eastAsia"/>
                <w:sz w:val="21"/>
                <w:szCs w:val="21"/>
              </w:rPr>
              <w:t>分，不合理得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产出质量</w:t>
            </w:r>
          </w:p>
        </w:tc>
        <w:tc>
          <w:tcPr>
            <w:tcW w:w="1511" w:type="dxa"/>
            <w:vMerge w:val="restart"/>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项目完成情况</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强戒人员伙食费按年人均伙食标准达到</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分，年人均伙食标准达</w:t>
            </w:r>
            <w:r>
              <w:rPr>
                <w:rFonts w:ascii="仿宋_GB2312" w:eastAsia="仿宋_GB2312" w:hAnsi="宋体" w:cs="仿宋_GB2312"/>
                <w:sz w:val="21"/>
                <w:szCs w:val="21"/>
              </w:rPr>
              <w:t>80%</w:t>
            </w:r>
            <w:r>
              <w:rPr>
                <w:rFonts w:ascii="仿宋_GB2312" w:eastAsia="仿宋_GB2312" w:hAnsi="宋体" w:cs="仿宋_GB2312"/>
                <w:sz w:val="21"/>
                <w:szCs w:val="21"/>
              </w:rPr>
              <w:t>—</w:t>
            </w:r>
            <w:r>
              <w:rPr>
                <w:rFonts w:ascii="仿宋_GB2312" w:eastAsia="仿宋_GB2312" w:hAnsi="宋体" w:cs="仿宋_GB2312"/>
                <w:sz w:val="21"/>
                <w:szCs w:val="21"/>
              </w:rPr>
              <w:t>90%</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分，年人均伙食标准达</w:t>
            </w:r>
            <w:r>
              <w:rPr>
                <w:rFonts w:ascii="仿宋_GB2312" w:eastAsia="仿宋_GB2312" w:hAnsi="宋体" w:cs="仿宋_GB2312"/>
                <w:sz w:val="21"/>
                <w:szCs w:val="21"/>
              </w:rPr>
              <w:t>80 %</w:t>
            </w:r>
            <w:r>
              <w:rPr>
                <w:rFonts w:ascii="仿宋_GB2312" w:eastAsia="仿宋_GB2312" w:hAnsi="宋体" w:cs="仿宋_GB2312" w:hint="eastAsia"/>
                <w:sz w:val="21"/>
                <w:szCs w:val="21"/>
              </w:rPr>
              <w:t>以下得</w:t>
            </w:r>
            <w:r>
              <w:rPr>
                <w:rFonts w:ascii="仿宋_GB2312" w:eastAsia="仿宋_GB2312" w:hAnsi="宋体" w:cs="仿宋_GB2312"/>
                <w:sz w:val="21"/>
                <w:szCs w:val="21"/>
              </w:rPr>
              <w:t>1</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vMerge/>
            <w:tcBorders>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强戒人员生活环境的卫生整洁得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w:t>
            </w:r>
            <w:r>
              <w:rPr>
                <w:rFonts w:ascii="仿宋_GB2312" w:eastAsia="仿宋_GB2312" w:hAnsi="宋体" w:cs="仿宋_GB2312" w:hint="eastAsia"/>
                <w:sz w:val="21"/>
                <w:szCs w:val="21"/>
              </w:rPr>
              <w:t>基本整洁得</w:t>
            </w:r>
            <w:r>
              <w:rPr>
                <w:rFonts w:ascii="仿宋_GB2312" w:eastAsia="仿宋_GB2312" w:hAnsi="宋体" w:cs="仿宋_GB2312"/>
                <w:sz w:val="21"/>
                <w:szCs w:val="21"/>
              </w:rPr>
              <w:t>2</w:t>
            </w:r>
            <w:r>
              <w:rPr>
                <w:rFonts w:ascii="仿宋_GB2312" w:eastAsia="仿宋_GB2312" w:hAnsi="宋体" w:cs="仿宋_GB2312" w:hint="eastAsia"/>
                <w:sz w:val="21"/>
                <w:szCs w:val="21"/>
              </w:rPr>
              <w:t>分</w:t>
            </w:r>
            <w:r>
              <w:rPr>
                <w:rFonts w:ascii="仿宋_GB2312" w:eastAsia="仿宋_GB2312" w:hAnsi="宋体" w:cs="仿宋_GB2312"/>
                <w:sz w:val="21"/>
                <w:szCs w:val="21"/>
              </w:rPr>
              <w:t>,</w:t>
            </w:r>
            <w:r>
              <w:rPr>
                <w:rFonts w:ascii="仿宋_GB2312" w:eastAsia="仿宋_GB2312" w:hAnsi="宋体" w:cs="仿宋_GB2312" w:hint="eastAsia"/>
                <w:sz w:val="21"/>
                <w:szCs w:val="21"/>
              </w:rPr>
              <w:t>不整洁得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2</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vMerge/>
            <w:tcBorders>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强戒人员食堂管理执行情况，不违规得</w:t>
            </w:r>
            <w:r>
              <w:rPr>
                <w:rFonts w:ascii="仿宋_GB2312" w:eastAsia="仿宋_GB2312" w:hAnsi="宋体" w:cs="仿宋_GB2312"/>
                <w:sz w:val="21"/>
                <w:szCs w:val="21"/>
              </w:rPr>
              <w:t>5</w:t>
            </w:r>
            <w:r>
              <w:rPr>
                <w:rFonts w:ascii="仿宋_GB2312" w:eastAsia="仿宋_GB2312" w:hAnsi="宋体" w:cs="仿宋_GB2312" w:hint="eastAsia"/>
                <w:sz w:val="21"/>
                <w:szCs w:val="21"/>
              </w:rPr>
              <w:t>分，有一项违规行为得</w:t>
            </w:r>
            <w:r>
              <w:rPr>
                <w:rFonts w:ascii="仿宋_GB2312" w:eastAsia="仿宋_GB2312" w:hAnsi="宋体" w:cs="仿宋_GB2312"/>
                <w:sz w:val="21"/>
                <w:szCs w:val="21"/>
              </w:rPr>
              <w:t>3</w:t>
            </w:r>
            <w:r>
              <w:rPr>
                <w:rFonts w:ascii="仿宋_GB2312" w:eastAsia="仿宋_GB2312" w:hAnsi="宋体" w:cs="仿宋_GB2312" w:hint="eastAsia"/>
                <w:sz w:val="21"/>
                <w:szCs w:val="21"/>
              </w:rPr>
              <w:t>分，有两项违规行为得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vMerge w:val="restart"/>
            <w:tcBorders>
              <w:top w:val="single" w:sz="4" w:space="0" w:color="auto"/>
              <w:left w:val="nil"/>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目标完成质量</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队员宿舍物品配置情况达到</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w:t>
            </w:r>
            <w:r>
              <w:rPr>
                <w:rFonts w:ascii="仿宋_GB2312" w:eastAsia="仿宋_GB2312" w:hAnsi="宋体" w:cs="仿宋_GB2312"/>
                <w:sz w:val="21"/>
                <w:szCs w:val="21"/>
              </w:rPr>
              <w:t>95%</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90%</w:t>
            </w:r>
            <w:r>
              <w:rPr>
                <w:rFonts w:ascii="仿宋_GB2312" w:eastAsia="仿宋_GB2312" w:hAnsi="宋体" w:cs="仿宋_GB2312" w:hint="eastAsia"/>
                <w:sz w:val="21"/>
                <w:szCs w:val="21"/>
              </w:rPr>
              <w:t>及以下得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1511" w:type="dxa"/>
            <w:vMerge/>
            <w:tcBorders>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食品安全率达</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w:t>
            </w:r>
            <w:r>
              <w:rPr>
                <w:rFonts w:ascii="仿宋_GB2312" w:eastAsia="仿宋_GB2312" w:hAnsi="宋体" w:cs="仿宋_GB2312"/>
                <w:sz w:val="21"/>
                <w:szCs w:val="21"/>
              </w:rPr>
              <w:t>95%</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90%</w:t>
            </w:r>
            <w:r>
              <w:rPr>
                <w:rFonts w:ascii="仿宋_GB2312" w:eastAsia="仿宋_GB2312" w:hAnsi="宋体" w:cs="仿宋_GB2312" w:hint="eastAsia"/>
                <w:sz w:val="21"/>
                <w:szCs w:val="21"/>
              </w:rPr>
              <w:t>及以下得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Times New Roman"/>
                <w:sz w:val="21"/>
                <w:szCs w:val="21"/>
              </w:rPr>
            </w:pPr>
            <w:r>
              <w:rPr>
                <w:rFonts w:ascii="仿宋_GB2312" w:eastAsia="仿宋_GB2312" w:hAnsi="宋体" w:cs="仿宋_GB2312"/>
                <w:sz w:val="21"/>
                <w:szCs w:val="21"/>
              </w:rPr>
              <w:t>5</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社会效益</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减轻强戒人员戒断反应</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对减轻戒断反应改善效果显著</w:t>
            </w:r>
            <w:r>
              <w:rPr>
                <w:rFonts w:ascii="仿宋_GB2312" w:eastAsia="仿宋_GB2312" w:hAnsi="宋体" w:cs="仿宋_GB2312"/>
                <w:sz w:val="21"/>
                <w:szCs w:val="21"/>
              </w:rPr>
              <w:t>4</w:t>
            </w:r>
            <w:r>
              <w:rPr>
                <w:rFonts w:ascii="仿宋_GB2312" w:eastAsia="仿宋_GB2312" w:hAnsi="宋体" w:cs="仿宋_GB2312" w:hint="eastAsia"/>
                <w:sz w:val="21"/>
                <w:szCs w:val="21"/>
              </w:rPr>
              <w:t>分，对减轻戒断反应有很大改善</w:t>
            </w:r>
            <w:r>
              <w:rPr>
                <w:rFonts w:ascii="仿宋_GB2312" w:eastAsia="仿宋_GB2312" w:hAnsi="宋体" w:cs="仿宋_GB2312"/>
                <w:sz w:val="21"/>
                <w:szCs w:val="21"/>
              </w:rPr>
              <w:t>3</w:t>
            </w:r>
            <w:r>
              <w:rPr>
                <w:rFonts w:ascii="仿宋_GB2312" w:eastAsia="仿宋_GB2312" w:hAnsi="宋体" w:cs="仿宋_GB2312" w:hint="eastAsia"/>
                <w:sz w:val="21"/>
                <w:szCs w:val="21"/>
              </w:rPr>
              <w:t>分，减轻戒断反应改善一般得</w:t>
            </w:r>
            <w:r>
              <w:rPr>
                <w:rFonts w:ascii="仿宋_GB2312" w:eastAsia="仿宋_GB2312" w:hAnsi="宋体" w:cs="仿宋_GB2312"/>
                <w:sz w:val="21"/>
                <w:szCs w:val="21"/>
              </w:rPr>
              <w:t>2</w:t>
            </w:r>
            <w:r>
              <w:rPr>
                <w:rFonts w:ascii="仿宋_GB2312" w:eastAsia="仿宋_GB2312" w:hAnsi="宋体" w:cs="仿宋_GB2312" w:hint="eastAsia"/>
                <w:sz w:val="21"/>
                <w:szCs w:val="21"/>
              </w:rPr>
              <w:t>分，减轻戒断反应改善不明显得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4%</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可持续效益</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项目的可改造性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提供科学合理的营养供给，能配合戒毒治疗、康复工作好得</w:t>
            </w:r>
            <w:r>
              <w:rPr>
                <w:rFonts w:ascii="仿宋_GB2312" w:eastAsia="仿宋_GB2312" w:hAnsi="宋体" w:cs="仿宋_GB2312"/>
                <w:sz w:val="21"/>
                <w:szCs w:val="21"/>
              </w:rPr>
              <w:t>3</w:t>
            </w:r>
            <w:r>
              <w:rPr>
                <w:rFonts w:ascii="仿宋_GB2312" w:eastAsia="仿宋_GB2312" w:hAnsi="宋体" w:cs="仿宋_GB2312" w:hint="eastAsia"/>
                <w:sz w:val="21"/>
                <w:szCs w:val="21"/>
              </w:rPr>
              <w:t>分，比较好得</w:t>
            </w:r>
            <w:r>
              <w:rPr>
                <w:rFonts w:ascii="仿宋_GB2312" w:eastAsia="仿宋_GB2312" w:hAnsi="宋体" w:cs="仿宋_GB2312"/>
                <w:sz w:val="21"/>
                <w:szCs w:val="21"/>
              </w:rPr>
              <w:t>2</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分，不好的</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2</w:t>
            </w:r>
          </w:p>
        </w:tc>
      </w:tr>
      <w:tr w:rsidR="00E95976">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服务对象满意度</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满意度调查</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强戒人员基本生活保障问卷调查满意率达</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分，满意率</w:t>
            </w:r>
            <w:r>
              <w:rPr>
                <w:rFonts w:ascii="仿宋_GB2312" w:eastAsia="仿宋_GB2312" w:hAnsi="宋体" w:cs="仿宋_GB2312"/>
                <w:sz w:val="21"/>
                <w:szCs w:val="21"/>
              </w:rPr>
              <w:t>80%-100%</w:t>
            </w:r>
            <w:r>
              <w:rPr>
                <w:rFonts w:ascii="仿宋_GB2312" w:eastAsia="仿宋_GB2312" w:hAnsi="宋体" w:cs="仿宋_GB2312" w:hint="eastAsia"/>
                <w:sz w:val="21"/>
                <w:szCs w:val="21"/>
              </w:rPr>
              <w:t>得</w:t>
            </w:r>
            <w:r>
              <w:rPr>
                <w:rFonts w:ascii="仿宋_GB2312" w:eastAsia="仿宋_GB2312" w:hAnsi="宋体" w:cs="仿宋_GB2312"/>
                <w:sz w:val="21"/>
                <w:szCs w:val="21"/>
              </w:rPr>
              <w:t>4</w:t>
            </w:r>
            <w:r>
              <w:rPr>
                <w:rFonts w:ascii="仿宋_GB2312" w:eastAsia="仿宋_GB2312" w:hAnsi="宋体" w:cs="仿宋_GB2312" w:hint="eastAsia"/>
                <w:sz w:val="21"/>
                <w:szCs w:val="21"/>
              </w:rPr>
              <w:t>分，满意率</w:t>
            </w:r>
            <w:r>
              <w:rPr>
                <w:rFonts w:ascii="仿宋_GB2312" w:eastAsia="仿宋_GB2312" w:hAnsi="宋体" w:cs="仿宋_GB2312"/>
                <w:sz w:val="21"/>
                <w:szCs w:val="21"/>
              </w:rPr>
              <w:t>60%-80%</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分，满意率</w:t>
            </w:r>
            <w:r>
              <w:rPr>
                <w:rFonts w:ascii="仿宋_GB2312" w:eastAsia="仿宋_GB2312" w:hAnsi="宋体" w:cs="仿宋_GB2312"/>
                <w:sz w:val="21"/>
                <w:szCs w:val="21"/>
              </w:rPr>
              <w:t>40%-60%</w:t>
            </w:r>
            <w:r>
              <w:rPr>
                <w:rFonts w:ascii="仿宋_GB2312" w:eastAsia="仿宋_GB2312" w:hAnsi="宋体" w:cs="仿宋_GB2312" w:hint="eastAsia"/>
                <w:sz w:val="21"/>
                <w:szCs w:val="21"/>
              </w:rPr>
              <w:t>得</w:t>
            </w:r>
            <w:r>
              <w:rPr>
                <w:rFonts w:ascii="仿宋_GB2312" w:eastAsia="仿宋_GB2312" w:hAnsi="宋体" w:cs="仿宋_GB2312"/>
                <w:sz w:val="21"/>
                <w:szCs w:val="21"/>
              </w:rPr>
              <w:t>2</w:t>
            </w:r>
            <w:r>
              <w:rPr>
                <w:rFonts w:ascii="仿宋_GB2312" w:eastAsia="仿宋_GB2312" w:hAnsi="宋体" w:cs="仿宋_GB2312" w:hint="eastAsia"/>
                <w:sz w:val="21"/>
                <w:szCs w:val="21"/>
              </w:rPr>
              <w:t>分，满意率</w:t>
            </w:r>
            <w:r>
              <w:rPr>
                <w:rFonts w:ascii="仿宋_GB2312" w:eastAsia="仿宋_GB2312" w:hAnsi="宋体" w:cs="仿宋_GB2312"/>
                <w:sz w:val="21"/>
                <w:szCs w:val="21"/>
              </w:rPr>
              <w:t>20%-40%</w:t>
            </w:r>
            <w:r>
              <w:rPr>
                <w:rFonts w:ascii="仿宋_GB2312" w:eastAsia="仿宋_GB2312" w:hAnsi="宋体" w:cs="仿宋_GB2312" w:hint="eastAsia"/>
                <w:sz w:val="21"/>
                <w:szCs w:val="21"/>
              </w:rPr>
              <w:t>得</w:t>
            </w:r>
            <w:r>
              <w:rPr>
                <w:rFonts w:ascii="仿宋_GB2312" w:eastAsia="仿宋_GB2312" w:hAnsi="宋体" w:cs="仿宋_GB2312"/>
                <w:sz w:val="21"/>
                <w:szCs w:val="21"/>
              </w:rPr>
              <w:t>1</w:t>
            </w:r>
            <w:r>
              <w:rPr>
                <w:rFonts w:ascii="仿宋_GB2312" w:eastAsia="仿宋_GB2312" w:hAnsi="宋体" w:cs="仿宋_GB2312" w:hint="eastAsia"/>
                <w:sz w:val="21"/>
                <w:szCs w:val="21"/>
              </w:rPr>
              <w:t>分，满意率</w:t>
            </w:r>
            <w:r>
              <w:rPr>
                <w:rFonts w:ascii="仿宋_GB2312" w:eastAsia="仿宋_GB2312" w:hAnsi="宋体" w:cs="仿宋_GB2312"/>
                <w:sz w:val="21"/>
                <w:szCs w:val="21"/>
              </w:rPr>
              <w:t>20%</w:t>
            </w:r>
            <w:r>
              <w:rPr>
                <w:rFonts w:ascii="仿宋_GB2312" w:eastAsia="仿宋_GB2312" w:hAnsi="宋体" w:cs="仿宋_GB2312" w:hint="eastAsia"/>
                <w:sz w:val="21"/>
                <w:szCs w:val="21"/>
              </w:rPr>
              <w:t>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E95976" w:rsidRDefault="00E95976"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4</w:t>
            </w:r>
          </w:p>
        </w:tc>
      </w:tr>
    </w:tbl>
    <w:p w:rsidR="00E95976" w:rsidRDefault="00E95976" w:rsidP="00E95976">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综合表列各项指标分析，从福建省女子司法强制隔离戒毒所</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年度戒毒人员生活费项目财政支出项目的实施效果看，总体绩效优良。</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在项目投入方面，占总得分</w:t>
      </w:r>
      <w:r>
        <w:rPr>
          <w:rFonts w:ascii="仿宋_GB2312" w:eastAsia="仿宋_GB2312" w:hAnsi="仿宋" w:cs="仿宋_GB2312"/>
          <w:kern w:val="2"/>
          <w:sz w:val="28"/>
          <w:szCs w:val="28"/>
          <w:lang w:val="en-US"/>
        </w:rPr>
        <w:t xml:space="preserve"> </w:t>
      </w:r>
      <w:r>
        <w:rPr>
          <w:rFonts w:ascii="仿宋_GB2312" w:eastAsia="仿宋_GB2312" w:hAnsi="仿宋" w:cs="仿宋_GB2312" w:hint="eastAsia"/>
          <w:kern w:val="2"/>
          <w:sz w:val="28"/>
          <w:szCs w:val="28"/>
          <w:lang w:val="en-US"/>
        </w:rPr>
        <w:t>的</w:t>
      </w:r>
      <w:r>
        <w:rPr>
          <w:rFonts w:ascii="仿宋_GB2312" w:eastAsia="仿宋_GB2312" w:hAnsi="仿宋" w:cs="仿宋_GB2312"/>
          <w:kern w:val="2"/>
          <w:sz w:val="28"/>
          <w:szCs w:val="28"/>
          <w:lang w:val="en-US"/>
        </w:rPr>
        <w:t>30%</w:t>
      </w:r>
      <w:r>
        <w:rPr>
          <w:rFonts w:ascii="仿宋_GB2312" w:eastAsia="仿宋_GB2312" w:hAnsi="仿宋" w:cs="仿宋_GB2312" w:hint="eastAsia"/>
          <w:kern w:val="2"/>
          <w:sz w:val="28"/>
          <w:szCs w:val="28"/>
          <w:lang w:val="en-US"/>
        </w:rPr>
        <w:t>。该项目总得分率为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，其中：</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）时效性指标得分率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：实际实施月份不晚于计划月份，总分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）项目立项情况指标得分率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①绩效目标合理性：与项目年度任务数或计划数相对应和与预算确定的项目投资额或资金量相匹配，本指标得分率为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bookmarkStart w:id="0" w:name="OLE_LINK1"/>
      <w:bookmarkStart w:id="1" w:name="OLE_LINK2"/>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bookmarkEnd w:id="0"/>
      <w:bookmarkEnd w:id="1"/>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②绩效指标明确性：已将项目绩效目标细化分解为具体的绩效指标和是已通过清晰、可衡量的指标值予以体现，本指标得分率为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③绩效指标完成率：目标完成率</w:t>
      </w:r>
      <w:r>
        <w:rPr>
          <w:rFonts w:ascii="仿宋_GB2312" w:eastAsia="仿宋_GB2312" w:hAnsi="仿宋" w:cs="仿宋_GB2312"/>
          <w:kern w:val="2"/>
          <w:sz w:val="28"/>
          <w:szCs w:val="28"/>
          <w:lang w:val="en-US"/>
        </w:rPr>
        <w:t>E=</w:t>
      </w:r>
      <w:r>
        <w:rPr>
          <w:rFonts w:ascii="仿宋_GB2312" w:eastAsia="仿宋_GB2312" w:hAnsi="仿宋" w:cs="仿宋_GB2312" w:hint="eastAsia"/>
          <w:kern w:val="2"/>
          <w:sz w:val="28"/>
          <w:szCs w:val="28"/>
          <w:lang w:val="en-US"/>
        </w:rPr>
        <w:t>目标实际完成数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期初目标编制数，本指标得分率为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④项目立项规范性：项目按照规定的程序申请立项和所提交的文件、材料符合相关要求以及事前已经过必要的可行性研究、专家论证、风险评估、集体决策等，本指标得分率为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）资金落实指标得分率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①成本控制率：成本控制率</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截至年末累计支出数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项目概算或当年预算数。</w:t>
      </w:r>
      <w:r>
        <w:rPr>
          <w:rFonts w:ascii="仿宋_GB2312" w:eastAsia="仿宋_GB2312" w:hAnsi="仿宋" w:cs="仿宋_GB2312"/>
          <w:kern w:val="2"/>
          <w:sz w:val="28"/>
          <w:szCs w:val="28"/>
          <w:lang w:val="en-US"/>
        </w:rPr>
        <w:t>A</w:t>
      </w:r>
      <w:r>
        <w:rPr>
          <w:rFonts w:ascii="仿宋_GB2312" w:hAnsi="宋体" w:cs="宋体" w:hint="eastAsia"/>
          <w:kern w:val="2"/>
          <w:sz w:val="28"/>
          <w:szCs w:val="28"/>
          <w:lang w:val="en-US"/>
        </w:rPr>
        <w:t>≦</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得满分；</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103%</w:t>
      </w:r>
      <w:r>
        <w:rPr>
          <w:rFonts w:ascii="仿宋_GB2312" w:eastAsia="仿宋_GB2312" w:hAnsi="仿宋" w:cs="仿宋_GB2312" w:hint="eastAsia"/>
          <w:kern w:val="2"/>
          <w:sz w:val="28"/>
          <w:szCs w:val="28"/>
          <w:lang w:val="en-US"/>
        </w:rPr>
        <w:t>时，得分为此项指标满分值</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A-100%</w:t>
      </w:r>
      <w:r>
        <w:rPr>
          <w:rFonts w:ascii="仿宋_GB2312" w:eastAsia="仿宋_GB2312" w:hAnsi="仿宋" w:cs="仿宋_GB2312" w:hint="eastAsia"/>
          <w:kern w:val="2"/>
          <w:sz w:val="28"/>
          <w:szCs w:val="28"/>
          <w:lang w:val="en-US"/>
        </w:rPr>
        <w:t>）（如：</w:t>
      </w:r>
      <w:r>
        <w:rPr>
          <w:rFonts w:ascii="仿宋_GB2312" w:eastAsia="仿宋_GB2312" w:hAnsi="仿宋" w:cs="仿宋_GB2312"/>
          <w:kern w:val="2"/>
          <w:sz w:val="28"/>
          <w:szCs w:val="28"/>
          <w:lang w:val="en-US"/>
        </w:rPr>
        <w:t>A=102.8%</w:t>
      </w:r>
      <w:r>
        <w:rPr>
          <w:rFonts w:ascii="仿宋_GB2312" w:eastAsia="仿宋_GB2312" w:hAnsi="仿宋" w:cs="仿宋_GB2312" w:hint="eastAsia"/>
          <w:kern w:val="2"/>
          <w:sz w:val="28"/>
          <w:szCs w:val="28"/>
          <w:lang w:val="en-US"/>
        </w:rPr>
        <w:t>，此项指标权重</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分，则得分为</w:t>
      </w:r>
      <w:r>
        <w:rPr>
          <w:rFonts w:ascii="仿宋_GB2312" w:eastAsia="仿宋_GB2312" w:hAnsi="仿宋" w:cs="仿宋_GB2312"/>
          <w:kern w:val="2"/>
          <w:sz w:val="28"/>
          <w:szCs w:val="28"/>
          <w:lang w:val="en-US"/>
        </w:rPr>
        <w:t>3-2.8=0.2</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103%</w:t>
      </w:r>
      <w:r>
        <w:rPr>
          <w:rFonts w:ascii="仿宋_GB2312" w:eastAsia="仿宋_GB2312" w:hAnsi="仿宋" w:cs="仿宋_GB2312" w:hint="eastAsia"/>
          <w:kern w:val="2"/>
          <w:sz w:val="28"/>
          <w:szCs w:val="28"/>
          <w:lang w:val="en-US"/>
        </w:rPr>
        <w:t>时不得分，本指标得分率为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②资金到位率：资金到位率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（实际到位资金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计划投入资金）×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。资金到位率大于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③到位及时率：到位及时率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（及时到位资金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应到位资金）×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。到位及时率大于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④资金使用率：资金使用率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（实际使用资金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。资金使用率大于</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⑤财政投入乘数：财政投入乘数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非财政资金投入</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财政资金投入。财政投入乘数达到或超过预期的得满分，本指标得分率为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在项目过程方面，占总得分的</w:t>
      </w:r>
      <w:r>
        <w:rPr>
          <w:rFonts w:ascii="仿宋_GB2312" w:eastAsia="仿宋_GB2312" w:hAnsi="仿宋" w:cs="仿宋_GB2312"/>
          <w:kern w:val="2"/>
          <w:sz w:val="28"/>
          <w:szCs w:val="28"/>
          <w:lang w:val="en-US"/>
        </w:rPr>
        <w:t>30%</w:t>
      </w:r>
      <w:r>
        <w:rPr>
          <w:rFonts w:ascii="仿宋_GB2312" w:eastAsia="仿宋_GB2312" w:hAnsi="仿宋" w:cs="仿宋_GB2312" w:hint="eastAsia"/>
          <w:kern w:val="2"/>
          <w:sz w:val="28"/>
          <w:szCs w:val="28"/>
          <w:lang w:val="en-US"/>
        </w:rPr>
        <w:t>。该项目总得分率为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，其中：</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）目标管理指标得分率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①目标的合理性：项目目标是否根据相应规定；是否符合规定要求，本指标得分率为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②目标完成率：目标完成率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（目标完成资金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目标到位资金）×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。到位及时率大于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）组织管理指标得分率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①管理制度保障：制度健全，本指标得分率为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②支撑条件保障：支撑条件保障好，本指标得分率为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）财务管理指标得分率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①财务制度健全性：制度健全，本指标得分率为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②财务管理有效性：财务管理有效性好，本指标得分率为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在产出与效益方面，总得分率</w:t>
      </w:r>
      <w:r>
        <w:rPr>
          <w:rFonts w:ascii="仿宋_GB2312" w:eastAsia="仿宋_GB2312" w:hAnsi="仿宋" w:cs="仿宋_GB2312"/>
          <w:kern w:val="2"/>
          <w:sz w:val="28"/>
          <w:szCs w:val="28"/>
          <w:lang w:val="en-US"/>
        </w:rPr>
        <w:t>40%</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85%</w:t>
      </w:r>
      <w:r>
        <w:rPr>
          <w:rFonts w:ascii="仿宋_GB2312" w:eastAsia="仿宋_GB2312" w:hAnsi="仿宋" w:cs="仿宋_GB2312" w:hint="eastAsia"/>
          <w:kern w:val="2"/>
          <w:sz w:val="28"/>
          <w:szCs w:val="28"/>
          <w:lang w:val="en-US"/>
        </w:rPr>
        <w:t>，其中：</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）产成品：产出数量指标得分率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，目标合理，本指标得分率为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）产出质量指标：产出质量指标得分率是</w:t>
      </w:r>
      <w:r>
        <w:rPr>
          <w:rFonts w:ascii="仿宋_GB2312" w:eastAsia="仿宋_GB2312" w:hAnsi="仿宋" w:cs="仿宋_GB2312"/>
          <w:kern w:val="2"/>
          <w:sz w:val="28"/>
          <w:szCs w:val="28"/>
          <w:lang w:val="en-US"/>
        </w:rPr>
        <w:t>86.96%</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①项目完成情况：</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强戒人员伙食费按年人均伙食标准达到</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b</w:t>
      </w:r>
      <w:r>
        <w:rPr>
          <w:rFonts w:ascii="仿宋_GB2312" w:eastAsia="仿宋_GB2312" w:hAnsi="仿宋" w:cs="仿宋_GB2312" w:hint="eastAsia"/>
          <w:kern w:val="2"/>
          <w:sz w:val="28"/>
          <w:szCs w:val="28"/>
          <w:lang w:val="en-US"/>
        </w:rPr>
        <w:t>戒毒人员生活环境的卫生整洁不够整洁，本指标得分率为</w:t>
      </w:r>
      <w:r>
        <w:rPr>
          <w:rFonts w:ascii="仿宋_GB2312" w:eastAsia="仿宋_GB2312" w:hAnsi="仿宋" w:cs="仿宋_GB2312"/>
          <w:kern w:val="2"/>
          <w:sz w:val="28"/>
          <w:szCs w:val="28"/>
          <w:lang w:val="en-US"/>
        </w:rPr>
        <w:t>66.67%</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c</w:t>
      </w:r>
      <w:r>
        <w:rPr>
          <w:rFonts w:ascii="仿宋_GB2312" w:eastAsia="仿宋_GB2312" w:hAnsi="仿宋" w:cs="仿宋_GB2312" w:hint="eastAsia"/>
          <w:kern w:val="2"/>
          <w:sz w:val="28"/>
          <w:szCs w:val="28"/>
          <w:lang w:val="en-US"/>
        </w:rPr>
        <w:t>强戒人员食堂管理执行情况：不违规得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②目标完成质量，本指标得分率为</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经检查戒毒人员宿舍物品配置未达</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但超过</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60%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b</w:t>
      </w:r>
      <w:r>
        <w:rPr>
          <w:rFonts w:ascii="仿宋_GB2312" w:eastAsia="仿宋_GB2312" w:hAnsi="仿宋" w:cs="仿宋_GB2312" w:hint="eastAsia"/>
          <w:kern w:val="2"/>
          <w:sz w:val="28"/>
          <w:szCs w:val="28"/>
          <w:lang w:val="en-US"/>
        </w:rPr>
        <w:t>食品安全率达</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及以下得</w:t>
      </w:r>
      <w:r>
        <w:rPr>
          <w:rFonts w:ascii="仿宋_GB2312" w:eastAsia="仿宋_GB2312" w:hAnsi="仿宋" w:cs="仿宋_GB2312"/>
          <w:kern w:val="2"/>
          <w:sz w:val="28"/>
          <w:szCs w:val="28"/>
          <w:lang w:val="en-US"/>
        </w:rPr>
        <w:t>0</w:t>
      </w:r>
      <w:r>
        <w:rPr>
          <w:rFonts w:ascii="仿宋_GB2312" w:eastAsia="仿宋_GB2312" w:hAnsi="仿宋" w:cs="仿宋_GB2312" w:hint="eastAsia"/>
          <w:kern w:val="2"/>
          <w:sz w:val="28"/>
          <w:szCs w:val="28"/>
          <w:lang w:val="en-US"/>
        </w:rPr>
        <w:t>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）社会效益指标得分率</w:t>
      </w:r>
      <w:r>
        <w:rPr>
          <w:rFonts w:ascii="仿宋_GB2312" w:eastAsia="仿宋_GB2312" w:hAnsi="仿宋" w:cs="仿宋_GB2312"/>
          <w:kern w:val="2"/>
          <w:sz w:val="28"/>
          <w:szCs w:val="28"/>
          <w:lang w:val="en-US"/>
        </w:rPr>
        <w:t>75%</w:t>
      </w:r>
      <w:r>
        <w:rPr>
          <w:rFonts w:ascii="仿宋_GB2312" w:eastAsia="仿宋_GB2312" w:hAnsi="仿宋" w:cs="仿宋_GB2312" w:hint="eastAsia"/>
          <w:kern w:val="2"/>
          <w:sz w:val="28"/>
          <w:szCs w:val="28"/>
          <w:lang w:val="en-US"/>
        </w:rPr>
        <w:t>，减轻强戒人员戒断反应扣分，原因是戒毒人员反应能对减轻戒断反应有很大改善，但由于各人身体原因，不一定都能达到对减轻戒断反应改善效果显著，总分</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）可持续效益得分率</w:t>
      </w:r>
      <w:r>
        <w:rPr>
          <w:rFonts w:ascii="仿宋_GB2312" w:eastAsia="仿宋_GB2312" w:hAnsi="仿宋" w:cs="仿宋_GB2312"/>
          <w:kern w:val="2"/>
          <w:sz w:val="28"/>
          <w:szCs w:val="28"/>
          <w:lang w:val="en-US"/>
        </w:rPr>
        <w:t>66.67%</w:t>
      </w:r>
      <w:r>
        <w:rPr>
          <w:rFonts w:ascii="仿宋_GB2312" w:eastAsia="仿宋_GB2312" w:hAnsi="仿宋" w:cs="仿宋_GB2312" w:hint="eastAsia"/>
          <w:kern w:val="2"/>
          <w:sz w:val="28"/>
          <w:szCs w:val="28"/>
          <w:lang w:val="en-US"/>
        </w:rPr>
        <w:t>，项目的可改造性扣分，原因是女子戒毒所能提供科学合理的营养供给，能配合戒毒治疗、康复工作比较好但尚有改进的空间，总分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）服务对象满意度指标得分率</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，原因是女子戒毒所对戒毒人员进行满意度抽样调查时，满意率超过</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未达到</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分。</w:t>
      </w:r>
    </w:p>
    <w:p w:rsidR="00E95976" w:rsidRDefault="00E95976" w:rsidP="00263288">
      <w:pPr>
        <w:autoSpaceDE w:val="0"/>
        <w:autoSpaceDN w:val="0"/>
        <w:adjustRightInd w:val="0"/>
        <w:spacing w:after="0" w:line="500" w:lineRule="exact"/>
        <w:ind w:firstLineChars="200" w:firstLine="31680"/>
        <w:jc w:val="both"/>
        <w:rPr>
          <w:rFonts w:ascii="仿宋_GB2312" w:eastAsia="仿宋_GB2312" w:hAnsi="宋体" w:cs="Times New Roman"/>
          <w:b/>
          <w:bCs/>
          <w:sz w:val="28"/>
          <w:szCs w:val="28"/>
        </w:rPr>
      </w:pPr>
      <w:r>
        <w:rPr>
          <w:rFonts w:ascii="仿宋_GB2312" w:eastAsia="仿宋_GB2312" w:hAnsi="宋体" w:cs="仿宋_GB2312" w:hint="eastAsia"/>
          <w:b/>
          <w:bCs/>
          <w:sz w:val="28"/>
          <w:szCs w:val="28"/>
        </w:rPr>
        <w:t>四、项目实施存在的问题和改进的措施</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一</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项目实施存在的问题</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项目管理上还有待进一步加强，完善会计信息。</w:t>
      </w:r>
    </w:p>
    <w:p w:rsidR="00E95976" w:rsidRPr="005668FA"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sidRPr="005668FA">
        <w:rPr>
          <w:rFonts w:ascii="仿宋_GB2312" w:eastAsia="仿宋_GB2312" w:hAnsi="仿宋" w:cs="仿宋_GB2312"/>
          <w:kern w:val="2"/>
          <w:sz w:val="28"/>
          <w:szCs w:val="28"/>
          <w:lang w:val="en-US"/>
        </w:rPr>
        <w:t>2.</w:t>
      </w:r>
      <w:r w:rsidRPr="005668FA">
        <w:rPr>
          <w:rFonts w:ascii="仿宋_GB2312" w:eastAsia="仿宋_GB2312" w:hAnsi="仿宋" w:cs="仿宋_GB2312" w:hint="eastAsia"/>
          <w:kern w:val="2"/>
          <w:sz w:val="28"/>
          <w:szCs w:val="28"/>
          <w:lang w:val="en-US"/>
        </w:rPr>
        <w:t>存在部分项目配套资金不足的问题，影响了戒毒人员生活设施软、硬件条件差，特别是场所的配电线路和自来水管管网建设老旧，存在安全隐患。</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在环境卫生管理方面，由于戒毒场所外围旧屋的改造，鼠患问题较严重，正常的环境消杀工作效果一般。</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因物价上涨、生活成本上升，原定标准已无法满足戒毒人员需要。</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戒毒食堂采购的食品品种较为单一，不利于对戒毒人员的膳食营养结构安排，不利于戒治管理。</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二</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项目改进工作的意见和建议</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针对项目实施中存在的问题，提出以下改进建议：</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完善各项制度</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抓制度的落实，提高制度的可操作性。</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根据项目的可改造性，科学安排戒毒人员的膳食营养，对特殊戒毒治人员增加一些专项伙食经费</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如：节日伙食、病号餐、民族餐、生日餐、营养餐等</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鉴于场所各项设施设备老化，应加大环境卫生管理，做好疫情研判，加强场所环境卫生、戒毒人员内务卫生方面管理，完善应急预案，落实人力、物力、财力保障，并与省防疫站配合，共同做好场所疫情防治工作。</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为提高戒毒人员生活质量，招选到物美质优的供应商，建议由上级主管部门进行统筹安排戒毒食堂物资采购招投标。</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财政部门应加大资金投入，使得项目实施更完整，更能取得最大的社会效应。</w:t>
      </w:r>
    </w:p>
    <w:p w:rsidR="00E95976" w:rsidRDefault="00E95976" w:rsidP="00263288">
      <w:pPr>
        <w:numPr>
          <w:ilvl w:val="0"/>
          <w:numId w:val="1"/>
        </w:numPr>
        <w:spacing w:after="0" w:line="500" w:lineRule="exact"/>
        <w:ind w:firstLineChars="200" w:firstLine="31680"/>
        <w:jc w:val="both"/>
        <w:rPr>
          <w:rFonts w:ascii="仿宋_GB2312" w:eastAsia="仿宋_GB2312" w:hAnsi="宋体" w:cs="Times New Roman"/>
          <w:b/>
          <w:bCs/>
          <w:sz w:val="28"/>
          <w:szCs w:val="28"/>
        </w:rPr>
      </w:pPr>
      <w:r>
        <w:rPr>
          <w:rFonts w:ascii="仿宋_GB2312" w:eastAsia="仿宋_GB2312" w:hAnsi="宋体" w:cs="仿宋_GB2312" w:hint="eastAsia"/>
          <w:b/>
          <w:bCs/>
          <w:sz w:val="28"/>
          <w:szCs w:val="28"/>
        </w:rPr>
        <w:t>改进预算管理、绩效管理的意见和建议</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一</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加强组织领导。财政部门要加强对预算绩效管理的统一领导，加强统筹观念，合理安排，制定具体措施。各预算单位要按照财政部门的统一部署，按项目的轻重急次进行申报，合理安排和有效控制使用财政资金，积极推进预算绩效管理试点。财政部门和预算单位之间要加强沟通，密切配合，形成工作合力。</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二</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健全制度。按照“先易后难、由点及面、稳步推进”的原则，坚持一手抓建章立制，一手抓评价实践，以项目评价为重点，由部分试点到扩面铺开，积极稳步，不断推进。同进加强预算绩效管理信息系统建设，为预算绩效管理提供制度和技术支撑。</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三</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致力于评价结果的应用。目前，绩效评价结果仅仅停留在反映情况、找出问题、完善制度层面，没有很好地与财政管理相衔接。因此，要建立预算绩效评价结果反馈和应用制度，将绩效评价结果及时反馈给预算具体执行单位，要求其根据绩效评价结果，完善制度，改进措施，提高管理水平，同时将绩</w:t>
      </w:r>
      <w:bookmarkStart w:id="2" w:name="_GoBack"/>
      <w:bookmarkEnd w:id="2"/>
      <w:r>
        <w:rPr>
          <w:rFonts w:ascii="仿宋_GB2312" w:eastAsia="仿宋_GB2312" w:hAnsi="仿宋" w:cs="仿宋_GB2312" w:hint="eastAsia"/>
          <w:kern w:val="2"/>
          <w:sz w:val="28"/>
          <w:szCs w:val="28"/>
          <w:lang w:val="en-US"/>
        </w:rPr>
        <w:t>效评价结果作为安排以后年度预算的重要依据。</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四</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加强宣传培训，牢固树立绩效理念。当前，一些部门（单位）领导对绩效管理和评价工作还不甚了解，或重视不够，没有将工作重点放在效益和效果方面。因此要充分利用各种新闻媒体、政府网络平台等，积极宣传预算绩效管理理念，培育绩效管理文化，增强预算绩效意识，为预算绩效管理创造良好的舆论环境</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要加强预算绩效管理专业知识培训，增强预算绩效管理工作人员的业务素质，提高预算绩效管理的工作水平。</w:t>
      </w:r>
    </w:p>
    <w:p w:rsidR="00E95976" w:rsidRDefault="00E95976" w:rsidP="00263288">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五</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考核机制。财政加大监督力度，建立预算绩效督促机制，加强财政支出监督，力争做到突击性、专项性检查多，日常监督少，加强预算绩效管理推进工作的检查，发现问题及时解决，对工作做得好的单位予以表扬，对工作做得不好的单位予以通报。</w:t>
      </w:r>
    </w:p>
    <w:p w:rsidR="00E95976" w:rsidRDefault="00E95976" w:rsidP="00622A91">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六</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专业的预算绩效管理队伍。预算绩效管理工作涉及项目业务、财务、效益等方面知识，能全面掌握这些知识的人员较少。财政部门、预算单位虽了解项目业务，中介机构虽了解财务方面知识，但对其他方面仍有所不足，特别是能对效益方面进行较好评价的人才就更加缺乏，因此面对预算绩效管理这项综合性的工作，面对考评项目的千差万别，急需建立一支专业性强、业务能力棒的专业队伍。</w:t>
      </w:r>
    </w:p>
    <w:sectPr w:rsidR="00E95976" w:rsidSect="00997BEA">
      <w:footerReference w:type="default" r:id="rId7"/>
      <w:pgSz w:w="12240" w:h="15840"/>
      <w:pgMar w:top="1440" w:right="1440" w:bottom="1440" w:left="1440"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976" w:rsidRDefault="00E95976">
      <w:pPr>
        <w:rPr>
          <w:rFonts w:cs="Times New Roman"/>
        </w:rPr>
      </w:pPr>
      <w:r>
        <w:rPr>
          <w:rFonts w:cs="Times New Roman"/>
        </w:rPr>
        <w:separator/>
      </w:r>
    </w:p>
  </w:endnote>
  <w:endnote w:type="continuationSeparator" w:id="0">
    <w:p w:rsidR="00E95976" w:rsidRDefault="00E9597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976" w:rsidRDefault="00E95976" w:rsidP="00EC7C87">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E95976" w:rsidRDefault="00E95976">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976" w:rsidRDefault="00E95976">
      <w:pPr>
        <w:rPr>
          <w:rFonts w:cs="Times New Roman"/>
        </w:rPr>
      </w:pPr>
      <w:r>
        <w:rPr>
          <w:rFonts w:cs="Times New Roman"/>
        </w:rPr>
        <w:separator/>
      </w:r>
    </w:p>
  </w:footnote>
  <w:footnote w:type="continuationSeparator" w:id="0">
    <w:p w:rsidR="00E95976" w:rsidRDefault="00E95976">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133F0"/>
    <w:multiLevelType w:val="singleLevel"/>
    <w:tmpl w:val="591133F0"/>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D25"/>
    <w:rsid w:val="00002847"/>
    <w:rsid w:val="00006B16"/>
    <w:rsid w:val="000213FA"/>
    <w:rsid w:val="00021B0C"/>
    <w:rsid w:val="000239E8"/>
    <w:rsid w:val="00026077"/>
    <w:rsid w:val="000328FE"/>
    <w:rsid w:val="0003349B"/>
    <w:rsid w:val="00043A9C"/>
    <w:rsid w:val="00055520"/>
    <w:rsid w:val="00057D03"/>
    <w:rsid w:val="00076779"/>
    <w:rsid w:val="00091003"/>
    <w:rsid w:val="0009339B"/>
    <w:rsid w:val="000A0EAC"/>
    <w:rsid w:val="000A29E1"/>
    <w:rsid w:val="000B09FE"/>
    <w:rsid w:val="000C7E24"/>
    <w:rsid w:val="000D0651"/>
    <w:rsid w:val="000D609F"/>
    <w:rsid w:val="000E0B4B"/>
    <w:rsid w:val="000E30EF"/>
    <w:rsid w:val="000F37D6"/>
    <w:rsid w:val="00101294"/>
    <w:rsid w:val="001035B0"/>
    <w:rsid w:val="00112E84"/>
    <w:rsid w:val="00123FE7"/>
    <w:rsid w:val="00125D7B"/>
    <w:rsid w:val="001365E2"/>
    <w:rsid w:val="0014713A"/>
    <w:rsid w:val="00150C73"/>
    <w:rsid w:val="001541DE"/>
    <w:rsid w:val="00165084"/>
    <w:rsid w:val="00181F56"/>
    <w:rsid w:val="00186B69"/>
    <w:rsid w:val="0019090B"/>
    <w:rsid w:val="00190C27"/>
    <w:rsid w:val="00192E1A"/>
    <w:rsid w:val="00193460"/>
    <w:rsid w:val="001A2EFB"/>
    <w:rsid w:val="001B1883"/>
    <w:rsid w:val="001B4BCB"/>
    <w:rsid w:val="001C0B6D"/>
    <w:rsid w:val="001C2449"/>
    <w:rsid w:val="001C3E85"/>
    <w:rsid w:val="001C59D1"/>
    <w:rsid w:val="001D5120"/>
    <w:rsid w:val="001E21FD"/>
    <w:rsid w:val="001E2C1C"/>
    <w:rsid w:val="001E716A"/>
    <w:rsid w:val="001E7CA0"/>
    <w:rsid w:val="001F297F"/>
    <w:rsid w:val="001F65B8"/>
    <w:rsid w:val="00200120"/>
    <w:rsid w:val="00201C85"/>
    <w:rsid w:val="002075D7"/>
    <w:rsid w:val="002079EA"/>
    <w:rsid w:val="002103C8"/>
    <w:rsid w:val="00214E4D"/>
    <w:rsid w:val="00214F4D"/>
    <w:rsid w:val="0021500A"/>
    <w:rsid w:val="0022529F"/>
    <w:rsid w:val="002277BD"/>
    <w:rsid w:val="002357CA"/>
    <w:rsid w:val="00240B26"/>
    <w:rsid w:val="0025345E"/>
    <w:rsid w:val="00257EB7"/>
    <w:rsid w:val="00261A15"/>
    <w:rsid w:val="00263288"/>
    <w:rsid w:val="0027145D"/>
    <w:rsid w:val="00283A1E"/>
    <w:rsid w:val="00286760"/>
    <w:rsid w:val="00294804"/>
    <w:rsid w:val="002B1C86"/>
    <w:rsid w:val="002B2419"/>
    <w:rsid w:val="002B4BD1"/>
    <w:rsid w:val="002C04C5"/>
    <w:rsid w:val="002C06C6"/>
    <w:rsid w:val="002C1B54"/>
    <w:rsid w:val="002C34B2"/>
    <w:rsid w:val="002D0908"/>
    <w:rsid w:val="002D1932"/>
    <w:rsid w:val="002D6800"/>
    <w:rsid w:val="002E3866"/>
    <w:rsid w:val="003050B8"/>
    <w:rsid w:val="00316075"/>
    <w:rsid w:val="003164B0"/>
    <w:rsid w:val="003212DA"/>
    <w:rsid w:val="00321CAC"/>
    <w:rsid w:val="00322755"/>
    <w:rsid w:val="003328CC"/>
    <w:rsid w:val="00335E24"/>
    <w:rsid w:val="00340834"/>
    <w:rsid w:val="0034366D"/>
    <w:rsid w:val="003470C0"/>
    <w:rsid w:val="00347BAE"/>
    <w:rsid w:val="0035470F"/>
    <w:rsid w:val="00361E1A"/>
    <w:rsid w:val="0036292B"/>
    <w:rsid w:val="00362E25"/>
    <w:rsid w:val="00371EDE"/>
    <w:rsid w:val="00374B93"/>
    <w:rsid w:val="00377387"/>
    <w:rsid w:val="00381E1B"/>
    <w:rsid w:val="003855F4"/>
    <w:rsid w:val="00386AC2"/>
    <w:rsid w:val="00390C70"/>
    <w:rsid w:val="003932E8"/>
    <w:rsid w:val="00394055"/>
    <w:rsid w:val="00395DFB"/>
    <w:rsid w:val="003A18A1"/>
    <w:rsid w:val="003A2D42"/>
    <w:rsid w:val="003B193F"/>
    <w:rsid w:val="003B4F9E"/>
    <w:rsid w:val="003B59A6"/>
    <w:rsid w:val="003D46D1"/>
    <w:rsid w:val="003E45C7"/>
    <w:rsid w:val="003E6D25"/>
    <w:rsid w:val="003F4E4F"/>
    <w:rsid w:val="004056A8"/>
    <w:rsid w:val="0042011F"/>
    <w:rsid w:val="004210F8"/>
    <w:rsid w:val="00430555"/>
    <w:rsid w:val="00432F0D"/>
    <w:rsid w:val="0044259F"/>
    <w:rsid w:val="004442D4"/>
    <w:rsid w:val="00451C62"/>
    <w:rsid w:val="0046488E"/>
    <w:rsid w:val="00467C4F"/>
    <w:rsid w:val="0047158A"/>
    <w:rsid w:val="00473019"/>
    <w:rsid w:val="00474035"/>
    <w:rsid w:val="00474DC3"/>
    <w:rsid w:val="00475E6A"/>
    <w:rsid w:val="00480072"/>
    <w:rsid w:val="00486245"/>
    <w:rsid w:val="00493E67"/>
    <w:rsid w:val="004B146B"/>
    <w:rsid w:val="004B27C9"/>
    <w:rsid w:val="004B68DA"/>
    <w:rsid w:val="004C42B9"/>
    <w:rsid w:val="004C4D54"/>
    <w:rsid w:val="004C74BA"/>
    <w:rsid w:val="004D61B9"/>
    <w:rsid w:val="004E50D7"/>
    <w:rsid w:val="004F531A"/>
    <w:rsid w:val="0051595F"/>
    <w:rsid w:val="00516603"/>
    <w:rsid w:val="0051709A"/>
    <w:rsid w:val="0052756F"/>
    <w:rsid w:val="00527A32"/>
    <w:rsid w:val="00543605"/>
    <w:rsid w:val="00551139"/>
    <w:rsid w:val="00554961"/>
    <w:rsid w:val="005602F0"/>
    <w:rsid w:val="00563D16"/>
    <w:rsid w:val="0056430F"/>
    <w:rsid w:val="005668FA"/>
    <w:rsid w:val="005800C2"/>
    <w:rsid w:val="005834A5"/>
    <w:rsid w:val="00583FCE"/>
    <w:rsid w:val="005854CB"/>
    <w:rsid w:val="00587DCB"/>
    <w:rsid w:val="00591F49"/>
    <w:rsid w:val="00592CA7"/>
    <w:rsid w:val="005932EE"/>
    <w:rsid w:val="00593F69"/>
    <w:rsid w:val="005A0EB4"/>
    <w:rsid w:val="005A753C"/>
    <w:rsid w:val="005B521A"/>
    <w:rsid w:val="005C1935"/>
    <w:rsid w:val="005C5A01"/>
    <w:rsid w:val="005F1D27"/>
    <w:rsid w:val="00604FDC"/>
    <w:rsid w:val="00610CE7"/>
    <w:rsid w:val="00621A3E"/>
    <w:rsid w:val="00622A91"/>
    <w:rsid w:val="00626A39"/>
    <w:rsid w:val="00627B84"/>
    <w:rsid w:val="00636376"/>
    <w:rsid w:val="006372FA"/>
    <w:rsid w:val="00661BC2"/>
    <w:rsid w:val="00661F0A"/>
    <w:rsid w:val="00666188"/>
    <w:rsid w:val="00667D15"/>
    <w:rsid w:val="00671A0D"/>
    <w:rsid w:val="00676B20"/>
    <w:rsid w:val="006946BA"/>
    <w:rsid w:val="006B2377"/>
    <w:rsid w:val="006B52A1"/>
    <w:rsid w:val="006C0E73"/>
    <w:rsid w:val="006C1CEF"/>
    <w:rsid w:val="006D254E"/>
    <w:rsid w:val="006D2808"/>
    <w:rsid w:val="006D2B03"/>
    <w:rsid w:val="006D3C26"/>
    <w:rsid w:val="006E0CE7"/>
    <w:rsid w:val="006E0E27"/>
    <w:rsid w:val="006E1A81"/>
    <w:rsid w:val="006E2F35"/>
    <w:rsid w:val="006E5B8A"/>
    <w:rsid w:val="006E719A"/>
    <w:rsid w:val="006E73E0"/>
    <w:rsid w:val="006F0347"/>
    <w:rsid w:val="00702A95"/>
    <w:rsid w:val="007255F5"/>
    <w:rsid w:val="00730785"/>
    <w:rsid w:val="00730BCE"/>
    <w:rsid w:val="00734D51"/>
    <w:rsid w:val="007404F3"/>
    <w:rsid w:val="00741D43"/>
    <w:rsid w:val="00741E88"/>
    <w:rsid w:val="007517DA"/>
    <w:rsid w:val="0075359B"/>
    <w:rsid w:val="00767F3E"/>
    <w:rsid w:val="007752B8"/>
    <w:rsid w:val="00776B19"/>
    <w:rsid w:val="00781BA5"/>
    <w:rsid w:val="00782B98"/>
    <w:rsid w:val="00783B89"/>
    <w:rsid w:val="0078468A"/>
    <w:rsid w:val="007902D7"/>
    <w:rsid w:val="00791DD1"/>
    <w:rsid w:val="0079328F"/>
    <w:rsid w:val="00793D16"/>
    <w:rsid w:val="00797E4E"/>
    <w:rsid w:val="007A3AB6"/>
    <w:rsid w:val="007B0198"/>
    <w:rsid w:val="007B4631"/>
    <w:rsid w:val="007B4994"/>
    <w:rsid w:val="007C1A07"/>
    <w:rsid w:val="007D1A68"/>
    <w:rsid w:val="007D2084"/>
    <w:rsid w:val="007E2EE9"/>
    <w:rsid w:val="007E439C"/>
    <w:rsid w:val="007F449E"/>
    <w:rsid w:val="007F60EA"/>
    <w:rsid w:val="00802AF4"/>
    <w:rsid w:val="0080547E"/>
    <w:rsid w:val="00806579"/>
    <w:rsid w:val="00807D91"/>
    <w:rsid w:val="008103C5"/>
    <w:rsid w:val="008140C7"/>
    <w:rsid w:val="00815CDB"/>
    <w:rsid w:val="00837378"/>
    <w:rsid w:val="00841114"/>
    <w:rsid w:val="00851B51"/>
    <w:rsid w:val="0085490B"/>
    <w:rsid w:val="00862A9A"/>
    <w:rsid w:val="00866085"/>
    <w:rsid w:val="00870391"/>
    <w:rsid w:val="008709EE"/>
    <w:rsid w:val="00872CA4"/>
    <w:rsid w:val="00875FCE"/>
    <w:rsid w:val="008811F1"/>
    <w:rsid w:val="0088474B"/>
    <w:rsid w:val="008934E2"/>
    <w:rsid w:val="008966D7"/>
    <w:rsid w:val="008A19BE"/>
    <w:rsid w:val="008B411C"/>
    <w:rsid w:val="008B76C9"/>
    <w:rsid w:val="008C2D35"/>
    <w:rsid w:val="008C354E"/>
    <w:rsid w:val="008C363A"/>
    <w:rsid w:val="008C66EB"/>
    <w:rsid w:val="008D0FCB"/>
    <w:rsid w:val="008D12F8"/>
    <w:rsid w:val="008D3EF7"/>
    <w:rsid w:val="008D46B6"/>
    <w:rsid w:val="008E014A"/>
    <w:rsid w:val="008E552D"/>
    <w:rsid w:val="008E6C71"/>
    <w:rsid w:val="008E7AE4"/>
    <w:rsid w:val="008F2A67"/>
    <w:rsid w:val="00905719"/>
    <w:rsid w:val="00911DF8"/>
    <w:rsid w:val="009145ED"/>
    <w:rsid w:val="00916588"/>
    <w:rsid w:val="00916A72"/>
    <w:rsid w:val="00950F9D"/>
    <w:rsid w:val="00951164"/>
    <w:rsid w:val="00957D2A"/>
    <w:rsid w:val="00964A79"/>
    <w:rsid w:val="00966FDC"/>
    <w:rsid w:val="00967788"/>
    <w:rsid w:val="00974398"/>
    <w:rsid w:val="0099292A"/>
    <w:rsid w:val="00993EB9"/>
    <w:rsid w:val="009966DF"/>
    <w:rsid w:val="00997BEA"/>
    <w:rsid w:val="009A4DD5"/>
    <w:rsid w:val="009B1817"/>
    <w:rsid w:val="009B3FD8"/>
    <w:rsid w:val="009B7206"/>
    <w:rsid w:val="00A03BF4"/>
    <w:rsid w:val="00A0476B"/>
    <w:rsid w:val="00A3064F"/>
    <w:rsid w:val="00A36CDA"/>
    <w:rsid w:val="00A404EB"/>
    <w:rsid w:val="00A51D74"/>
    <w:rsid w:val="00A57963"/>
    <w:rsid w:val="00A62DCF"/>
    <w:rsid w:val="00A63D71"/>
    <w:rsid w:val="00A65CBE"/>
    <w:rsid w:val="00A75513"/>
    <w:rsid w:val="00A75D2B"/>
    <w:rsid w:val="00A82728"/>
    <w:rsid w:val="00A83F31"/>
    <w:rsid w:val="00AB39D1"/>
    <w:rsid w:val="00AB3D04"/>
    <w:rsid w:val="00AC4D25"/>
    <w:rsid w:val="00AE2157"/>
    <w:rsid w:val="00AE5081"/>
    <w:rsid w:val="00AF4F70"/>
    <w:rsid w:val="00AF6477"/>
    <w:rsid w:val="00AF78FD"/>
    <w:rsid w:val="00B1189C"/>
    <w:rsid w:val="00B17980"/>
    <w:rsid w:val="00B17F6F"/>
    <w:rsid w:val="00B34963"/>
    <w:rsid w:val="00B4026F"/>
    <w:rsid w:val="00B42E5F"/>
    <w:rsid w:val="00B50A73"/>
    <w:rsid w:val="00B55A1B"/>
    <w:rsid w:val="00B622C8"/>
    <w:rsid w:val="00B6733E"/>
    <w:rsid w:val="00B70100"/>
    <w:rsid w:val="00B726FC"/>
    <w:rsid w:val="00B7278C"/>
    <w:rsid w:val="00B73F69"/>
    <w:rsid w:val="00B823A8"/>
    <w:rsid w:val="00B82B08"/>
    <w:rsid w:val="00BA23B3"/>
    <w:rsid w:val="00BE1FBA"/>
    <w:rsid w:val="00BE5234"/>
    <w:rsid w:val="00C01B51"/>
    <w:rsid w:val="00C108D5"/>
    <w:rsid w:val="00C10F46"/>
    <w:rsid w:val="00C1482E"/>
    <w:rsid w:val="00C1569F"/>
    <w:rsid w:val="00C177AA"/>
    <w:rsid w:val="00C32B37"/>
    <w:rsid w:val="00C3417B"/>
    <w:rsid w:val="00C35FB1"/>
    <w:rsid w:val="00C37156"/>
    <w:rsid w:val="00C373DA"/>
    <w:rsid w:val="00C409AF"/>
    <w:rsid w:val="00C4713E"/>
    <w:rsid w:val="00C54718"/>
    <w:rsid w:val="00C55540"/>
    <w:rsid w:val="00C5567A"/>
    <w:rsid w:val="00C64548"/>
    <w:rsid w:val="00C70BA1"/>
    <w:rsid w:val="00C70F6B"/>
    <w:rsid w:val="00C71AA7"/>
    <w:rsid w:val="00C75AD5"/>
    <w:rsid w:val="00C8144D"/>
    <w:rsid w:val="00C87313"/>
    <w:rsid w:val="00CA344A"/>
    <w:rsid w:val="00CA58C4"/>
    <w:rsid w:val="00CA5FA9"/>
    <w:rsid w:val="00CD26B4"/>
    <w:rsid w:val="00CD622B"/>
    <w:rsid w:val="00CD6749"/>
    <w:rsid w:val="00CD79D9"/>
    <w:rsid w:val="00CF03E8"/>
    <w:rsid w:val="00CF0939"/>
    <w:rsid w:val="00CF5B0E"/>
    <w:rsid w:val="00CF69AE"/>
    <w:rsid w:val="00D04650"/>
    <w:rsid w:val="00D13263"/>
    <w:rsid w:val="00D20A51"/>
    <w:rsid w:val="00D2523E"/>
    <w:rsid w:val="00D266A3"/>
    <w:rsid w:val="00D45A1C"/>
    <w:rsid w:val="00D45E54"/>
    <w:rsid w:val="00D50992"/>
    <w:rsid w:val="00D5659A"/>
    <w:rsid w:val="00D649AC"/>
    <w:rsid w:val="00D71FBC"/>
    <w:rsid w:val="00D8076A"/>
    <w:rsid w:val="00D91E33"/>
    <w:rsid w:val="00DA586A"/>
    <w:rsid w:val="00DB49C3"/>
    <w:rsid w:val="00DD66B9"/>
    <w:rsid w:val="00DF02C6"/>
    <w:rsid w:val="00DF183C"/>
    <w:rsid w:val="00E043DD"/>
    <w:rsid w:val="00E15F41"/>
    <w:rsid w:val="00E20C21"/>
    <w:rsid w:val="00E31784"/>
    <w:rsid w:val="00E33BBD"/>
    <w:rsid w:val="00E348BE"/>
    <w:rsid w:val="00E57CBF"/>
    <w:rsid w:val="00E6304D"/>
    <w:rsid w:val="00E67BA8"/>
    <w:rsid w:val="00E901C3"/>
    <w:rsid w:val="00E95976"/>
    <w:rsid w:val="00E965EB"/>
    <w:rsid w:val="00EB0878"/>
    <w:rsid w:val="00EC7C87"/>
    <w:rsid w:val="00EE704B"/>
    <w:rsid w:val="00EF2390"/>
    <w:rsid w:val="00EF3389"/>
    <w:rsid w:val="00EF46D8"/>
    <w:rsid w:val="00EF4FAD"/>
    <w:rsid w:val="00EF5682"/>
    <w:rsid w:val="00F003F2"/>
    <w:rsid w:val="00F024FB"/>
    <w:rsid w:val="00F115C1"/>
    <w:rsid w:val="00F1346F"/>
    <w:rsid w:val="00F229AE"/>
    <w:rsid w:val="00F25EE1"/>
    <w:rsid w:val="00F47BE6"/>
    <w:rsid w:val="00F554F1"/>
    <w:rsid w:val="00F55EB9"/>
    <w:rsid w:val="00F576BE"/>
    <w:rsid w:val="00F61A94"/>
    <w:rsid w:val="00F62A44"/>
    <w:rsid w:val="00F655EC"/>
    <w:rsid w:val="00F67C84"/>
    <w:rsid w:val="00F756D3"/>
    <w:rsid w:val="00FA3128"/>
    <w:rsid w:val="00FA72DF"/>
    <w:rsid w:val="00FB344D"/>
    <w:rsid w:val="00FD1F90"/>
    <w:rsid w:val="00FE183B"/>
    <w:rsid w:val="00FE438B"/>
    <w:rsid w:val="00FE6F01"/>
    <w:rsid w:val="00FF7213"/>
    <w:rsid w:val="0A5D4A3B"/>
    <w:rsid w:val="47F23CC2"/>
    <w:rsid w:val="59E2494A"/>
    <w:rsid w:val="63446216"/>
    <w:rsid w:val="6BF779F3"/>
    <w:rsid w:val="77E576EF"/>
    <w:rsid w:val="7E2D1D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718"/>
    <w:pPr>
      <w:spacing w:after="200" w:line="276" w:lineRule="auto"/>
    </w:pPr>
    <w:rPr>
      <w:rFonts w:cs="Calibri"/>
      <w:kern w:val="0"/>
      <w:sz w:val="22"/>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54718"/>
    <w:pPr>
      <w:tabs>
        <w:tab w:val="left" w:pos="720"/>
        <w:tab w:val="left" w:pos="1440"/>
        <w:tab w:val="left" w:pos="2160"/>
        <w:tab w:val="left" w:pos="2880"/>
        <w:tab w:val="left" w:pos="3600"/>
        <w:tab w:val="left" w:pos="4321"/>
        <w:tab w:val="left" w:pos="5041"/>
        <w:tab w:val="left" w:pos="5761"/>
        <w:tab w:val="left" w:pos="6481"/>
        <w:tab w:val="left" w:pos="7201"/>
        <w:tab w:val="left" w:pos="7921"/>
      </w:tabs>
      <w:autoSpaceDE w:val="0"/>
      <w:autoSpaceDN w:val="0"/>
      <w:spacing w:after="120" w:line="240" w:lineRule="auto"/>
    </w:pPr>
    <w:rPr>
      <w:rFonts w:ascii="Times New Roman" w:hAnsi="Times New Roman" w:cs="Times New Roman"/>
      <w:sz w:val="24"/>
      <w:szCs w:val="24"/>
      <w:lang w:val="en-AU"/>
    </w:rPr>
  </w:style>
  <w:style w:type="character" w:customStyle="1" w:styleId="BodyTextChar">
    <w:name w:val="Body Text Char"/>
    <w:basedOn w:val="DefaultParagraphFont"/>
    <w:link w:val="BodyText"/>
    <w:uiPriority w:val="99"/>
    <w:locked/>
    <w:rsid w:val="00C54718"/>
    <w:rPr>
      <w:rFonts w:ascii="Times New Roman" w:hAnsi="Times New Roman" w:cs="Times New Roman"/>
      <w:sz w:val="24"/>
      <w:szCs w:val="24"/>
      <w:lang w:val="en-AU"/>
    </w:rPr>
  </w:style>
  <w:style w:type="paragraph" w:styleId="BalloonText">
    <w:name w:val="Balloon Text"/>
    <w:basedOn w:val="Normal"/>
    <w:link w:val="BalloonTextChar"/>
    <w:uiPriority w:val="99"/>
    <w:semiHidden/>
    <w:rsid w:val="00C54718"/>
    <w:pPr>
      <w:spacing w:after="0" w:line="240" w:lineRule="auto"/>
    </w:pPr>
    <w:rPr>
      <w:rFonts w:ascii="宋体" w:cs="宋体"/>
      <w:sz w:val="18"/>
      <w:szCs w:val="18"/>
      <w:lang w:val="en-US"/>
    </w:rPr>
  </w:style>
  <w:style w:type="character" w:customStyle="1" w:styleId="BalloonTextChar">
    <w:name w:val="Balloon Text Char"/>
    <w:basedOn w:val="DefaultParagraphFont"/>
    <w:link w:val="BalloonText"/>
    <w:uiPriority w:val="99"/>
    <w:semiHidden/>
    <w:locked/>
    <w:rsid w:val="00C54718"/>
    <w:rPr>
      <w:rFonts w:ascii="宋体" w:eastAsia="宋体" w:cs="宋体"/>
      <w:sz w:val="18"/>
      <w:szCs w:val="18"/>
    </w:rPr>
  </w:style>
  <w:style w:type="paragraph" w:styleId="Footer">
    <w:name w:val="footer"/>
    <w:basedOn w:val="Normal"/>
    <w:link w:val="FooterChar"/>
    <w:uiPriority w:val="99"/>
    <w:rsid w:val="00C54718"/>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C54718"/>
  </w:style>
  <w:style w:type="paragraph" w:styleId="Header">
    <w:name w:val="header"/>
    <w:basedOn w:val="Normal"/>
    <w:link w:val="HeaderChar"/>
    <w:uiPriority w:val="99"/>
    <w:rsid w:val="00C54718"/>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C54718"/>
  </w:style>
  <w:style w:type="character" w:styleId="Hyperlink">
    <w:name w:val="Hyperlink"/>
    <w:basedOn w:val="DefaultParagraphFont"/>
    <w:uiPriority w:val="99"/>
    <w:rsid w:val="00C54718"/>
    <w:rPr>
      <w:color w:val="0000FF"/>
      <w:u w:val="single"/>
    </w:rPr>
  </w:style>
  <w:style w:type="paragraph" w:customStyle="1" w:styleId="1">
    <w:name w:val="列出段落1"/>
    <w:basedOn w:val="Normal"/>
    <w:uiPriority w:val="99"/>
    <w:rsid w:val="00C54718"/>
    <w:pPr>
      <w:ind w:left="720"/>
    </w:pPr>
  </w:style>
  <w:style w:type="character" w:styleId="PageNumber">
    <w:name w:val="page number"/>
    <w:basedOn w:val="DefaultParagraphFont"/>
    <w:uiPriority w:val="99"/>
    <w:rsid w:val="00997B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12</Pages>
  <Words>1186</Words>
  <Characters>6766</Characters>
  <Application>Microsoft Office Outlook</Application>
  <DocSecurity>0</DocSecurity>
  <Lines>0</Lines>
  <Paragraphs>0</Paragraphs>
  <ScaleCrop>false</ScaleCrop>
  <Company>fjsnzljs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dc:creator>
  <cp:keywords/>
  <dc:description/>
  <cp:lastModifiedBy>jck</cp:lastModifiedBy>
  <cp:revision>31</cp:revision>
  <cp:lastPrinted>2017-05-24T01:16:00Z</cp:lastPrinted>
  <dcterms:created xsi:type="dcterms:W3CDTF">2017-05-18T00:44:00Z</dcterms:created>
  <dcterms:modified xsi:type="dcterms:W3CDTF">2017-06-08T00:37:00Z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