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center"/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福建省司法厅机关档案库房改造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项目</w:t>
      </w:r>
    </w:p>
    <w:p>
      <w:pPr>
        <w:spacing w:line="280" w:lineRule="atLeast"/>
        <w:jc w:val="center"/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  <w:lang w:eastAsia="zh-CN"/>
        </w:rPr>
        <w:t>采购公告</w:t>
      </w:r>
    </w:p>
    <w:p>
      <w:pPr>
        <w:spacing w:line="360" w:lineRule="auto"/>
        <w:jc w:val="center"/>
        <w:outlineLvl w:val="0"/>
        <w:rPr>
          <w:rFonts w:hint="eastAsia" w:ascii="宋体" w:hAnsi="宋体"/>
          <w:color w:val="000000"/>
          <w:sz w:val="32"/>
          <w:szCs w:val="48"/>
        </w:rPr>
      </w:pPr>
    </w:p>
    <w:p>
      <w:pPr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我厅</w:t>
      </w:r>
      <w:r>
        <w:rPr>
          <w:rFonts w:hint="eastAsia" w:ascii="宋体" w:hAnsi="宋体" w:eastAsia="宋体"/>
          <w:snapToGrid/>
          <w:color w:val="auto"/>
          <w:sz w:val="32"/>
          <w:lang w:val="en-US" w:eastAsia="zh-CN"/>
        </w:rPr>
        <w:t>拟采购</w:t>
      </w:r>
      <w:r>
        <w:rPr>
          <w:rFonts w:hint="eastAsia" w:ascii="宋体" w:hAnsi="宋体"/>
          <w:snapToGrid/>
          <w:color w:val="auto"/>
          <w:sz w:val="32"/>
          <w:lang w:val="en-US" w:eastAsia="zh-CN"/>
        </w:rPr>
        <w:t>厅机关档案库房改造项目</w:t>
      </w:r>
      <w:r>
        <w:rPr>
          <w:rFonts w:hint="eastAsia" w:ascii="宋体" w:hAnsi="宋体" w:eastAsia="宋体"/>
          <w:snapToGrid/>
          <w:color w:val="auto"/>
          <w:sz w:val="32"/>
          <w:lang w:eastAsia="zh-CN"/>
        </w:rPr>
        <w:t>，</w:t>
      </w:r>
      <w:r>
        <w:rPr>
          <w:rFonts w:hint="eastAsia" w:ascii="宋体" w:hAnsi="宋体" w:eastAsia="宋体" w:cs="仿宋_GB2312"/>
          <w:sz w:val="32"/>
          <w:szCs w:val="32"/>
        </w:rPr>
        <w:t>为做到公开、公平、公正，我厅采取</w:t>
      </w:r>
      <w:r>
        <w:rPr>
          <w:rFonts w:hint="eastAsia" w:ascii="宋体" w:hAnsi="宋体" w:cs="仿宋_GB2312"/>
          <w:sz w:val="32"/>
          <w:szCs w:val="32"/>
          <w:lang w:eastAsia="zh-CN"/>
        </w:rPr>
        <w:t>公告</w:t>
      </w:r>
      <w:r>
        <w:rPr>
          <w:rFonts w:hint="eastAsia" w:ascii="宋体" w:hAnsi="宋体" w:eastAsia="宋体" w:cs="仿宋_GB2312"/>
          <w:sz w:val="32"/>
          <w:szCs w:val="32"/>
        </w:rPr>
        <w:t>询价的方式进行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本项目的</w:t>
      </w:r>
      <w:r>
        <w:rPr>
          <w:rFonts w:hint="eastAsia" w:ascii="宋体" w:hAnsi="宋体" w:eastAsia="宋体" w:cs="仿宋_GB2312"/>
          <w:sz w:val="32"/>
          <w:szCs w:val="32"/>
        </w:rPr>
        <w:t>采购，欢迎</w:t>
      </w:r>
      <w:r>
        <w:rPr>
          <w:rFonts w:hint="eastAsia" w:ascii="宋体" w:hAnsi="宋体" w:eastAsia="宋体" w:cs="仿宋_GB2312"/>
          <w:color w:val="auto"/>
          <w:sz w:val="32"/>
          <w:szCs w:val="32"/>
        </w:rPr>
        <w:t>供应商按</w:t>
      </w:r>
      <w:r>
        <w:rPr>
          <w:rFonts w:hint="eastAsia" w:ascii="宋体" w:hAnsi="宋体" w:eastAsia="宋体" w:cs="仿宋_GB2312"/>
          <w:sz w:val="32"/>
          <w:szCs w:val="32"/>
        </w:rPr>
        <w:t>要求书面报价。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采购具体事项如下：</w:t>
      </w:r>
    </w:p>
    <w:p>
      <w:pPr>
        <w:spacing w:line="360" w:lineRule="auto"/>
        <w:ind w:firstLine="660"/>
        <w:jc w:val="left"/>
        <w:outlineLvl w:val="0"/>
        <w:rPr>
          <w:rFonts w:hint="eastAsia" w:ascii="宋体" w:hAnsi="宋体" w:eastAsia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28"/>
        </w:rPr>
        <w:t>一、项目名称：</w:t>
      </w:r>
      <w:r>
        <w:rPr>
          <w:rFonts w:hint="eastAsia" w:ascii="宋体" w:hAnsi="宋体"/>
          <w:snapToGrid/>
          <w:color w:val="auto"/>
          <w:sz w:val="32"/>
          <w:lang w:val="en-US" w:eastAsia="zh-CN"/>
        </w:rPr>
        <w:t>厅机关档案室库房改造项目采购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二、报价需求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（一)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</w:rPr>
        <w:t>人资质要求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营业执照、资质证书经营范围分别含有有消防设备、安防设备施工范围。</w:t>
      </w:r>
    </w:p>
    <w:p>
      <w:pPr>
        <w:spacing w:line="360" w:lineRule="auto"/>
        <w:ind w:firstLine="640" w:firstLineChars="200"/>
        <w:jc w:val="left"/>
        <w:outlineLvl w:val="0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/>
          <w:color w:val="auto"/>
          <w:sz w:val="32"/>
          <w:szCs w:val="32"/>
        </w:rPr>
        <w:t>报价及比价方法</w:t>
      </w:r>
    </w:p>
    <w:p>
      <w:pPr>
        <w:spacing w:line="360" w:lineRule="auto"/>
        <w:ind w:firstLine="720" w:firstLineChars="225"/>
        <w:rPr>
          <w:rFonts w:hint="eastAsia" w:ascii="宋体" w:hAnsi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1、最高限价：</w:t>
      </w:r>
      <w:r>
        <w:rPr>
          <w:rFonts w:hint="eastAsia" w:ascii="宋体" w:hAnsi="宋体"/>
          <w:color w:val="auto"/>
          <w:sz w:val="32"/>
          <w:szCs w:val="32"/>
          <w:u w:val="none"/>
          <w:lang w:val="en-US" w:eastAsia="zh-CN"/>
        </w:rPr>
        <w:t>77774元</w:t>
      </w:r>
    </w:p>
    <w:p>
      <w:pPr>
        <w:spacing w:line="360" w:lineRule="auto"/>
        <w:ind w:firstLine="720" w:firstLineChars="225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2、比价方法：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最低价法</w:t>
      </w:r>
      <w:bookmarkStart w:id="0" w:name="_GoBack"/>
      <w:bookmarkEnd w:id="0"/>
    </w:p>
    <w:p>
      <w:pPr>
        <w:spacing w:line="360" w:lineRule="auto"/>
        <w:ind w:firstLine="720" w:firstLineChars="225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（三）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宋体"/>
          <w:color w:val="auto"/>
          <w:sz w:val="32"/>
          <w:szCs w:val="32"/>
        </w:rPr>
        <w:t>具体要求</w:t>
      </w:r>
    </w:p>
    <w:p>
      <w:pPr>
        <w:spacing w:line="360" w:lineRule="auto"/>
        <w:ind w:firstLine="720" w:firstLineChars="225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按照附件提供的《福建省司法厅机关档案室库房改造采购清单》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(分包一，包二，由不同经营范围供应商中选）</w:t>
      </w:r>
    </w:p>
    <w:p>
      <w:pPr>
        <w:spacing w:line="580" w:lineRule="exact"/>
        <w:ind w:firstLine="720" w:firstLineChars="225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（四）付款要求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:项目竣工并经各方验收合格后7个工作日内支付95%的款项，余5%保修金一年后支付。</w:t>
      </w:r>
    </w:p>
    <w:p>
      <w:pPr>
        <w:spacing w:line="580" w:lineRule="exact"/>
        <w:ind w:firstLine="720" w:firstLineChars="225"/>
        <w:rPr>
          <w:rFonts w:hint="eastAsia" w:ascii="宋体" w:hAnsi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lang w:eastAsia="zh-CN"/>
        </w:rPr>
        <w:t>（五）其他要求：</w:t>
      </w:r>
    </w:p>
    <w:p>
      <w:pPr>
        <w:numPr>
          <w:ilvl w:val="0"/>
          <w:numId w:val="0"/>
        </w:numPr>
        <w:spacing w:line="580" w:lineRule="exact"/>
        <w:ind w:firstLine="960" w:firstLineChars="300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1、供应商报价前应到现场踏勘，供应商不踏勘现场的，视同对本项目已经了解，并充分理解为之所承担的风险、义务和责任；</w:t>
      </w:r>
    </w:p>
    <w:p>
      <w:pPr>
        <w:numPr>
          <w:ilvl w:val="0"/>
          <w:numId w:val="0"/>
        </w:numPr>
        <w:spacing w:line="580" w:lineRule="exact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 xml:space="preserve">     2、供应商就工作内容一次报出不得更改的价格。</w:t>
      </w:r>
    </w:p>
    <w:p>
      <w:pPr>
        <w:spacing w:line="560" w:lineRule="exact"/>
        <w:ind w:firstLine="660"/>
        <w:rPr>
          <w:rFonts w:hint="eastAsia" w:ascii="宋体" w:hAnsi="宋体" w:eastAsia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三、报价截止时间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及地点：20</w:t>
      </w:r>
      <w:r>
        <w:rPr>
          <w:rFonts w:hint="eastAsia" w:ascii="宋体" w:hAnsi="宋体" w:cs="Arial"/>
          <w:color w:val="auto"/>
          <w:kern w:val="0"/>
          <w:sz w:val="32"/>
          <w:szCs w:val="28"/>
          <w:lang w:val="en-US" w:eastAsia="zh-CN"/>
        </w:rPr>
        <w:t>20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年</w:t>
      </w:r>
      <w:r>
        <w:rPr>
          <w:rFonts w:hint="eastAsia" w:ascii="宋体" w:hAnsi="宋体" w:cs="Arial"/>
          <w:color w:val="auto"/>
          <w:kern w:val="0"/>
          <w:sz w:val="32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月</w:t>
      </w:r>
      <w:r>
        <w:rPr>
          <w:rFonts w:hint="eastAsia" w:ascii="宋体" w:hAnsi="宋体" w:cs="Arial"/>
          <w:color w:val="auto"/>
          <w:kern w:val="0"/>
          <w:sz w:val="32"/>
          <w:szCs w:val="28"/>
          <w:lang w:val="en-US" w:eastAsia="zh-CN"/>
        </w:rPr>
        <w:t>30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日9:00时（北京时间），福州市西门井边亭11号</w:t>
      </w:r>
      <w:r>
        <w:rPr>
          <w:rFonts w:hint="eastAsia" w:ascii="宋体" w:hAnsi="宋体" w:eastAsia="宋体"/>
          <w:color w:val="auto"/>
          <w:sz w:val="32"/>
          <w:szCs w:val="28"/>
        </w:rPr>
        <w:t>福建省司法厅办公楼6</w:t>
      </w:r>
      <w:r>
        <w:rPr>
          <w:rFonts w:hint="eastAsia" w:ascii="宋体" w:hAnsi="宋体"/>
          <w:color w:val="auto"/>
          <w:sz w:val="32"/>
          <w:szCs w:val="28"/>
          <w:lang w:val="en-US" w:eastAsia="zh-CN"/>
        </w:rPr>
        <w:t>08</w:t>
      </w:r>
      <w:r>
        <w:rPr>
          <w:rFonts w:hint="eastAsia" w:ascii="宋体" w:hAnsi="宋体" w:eastAsia="宋体"/>
          <w:color w:val="auto"/>
          <w:sz w:val="32"/>
          <w:szCs w:val="28"/>
        </w:rPr>
        <w:t>室。报价人应在此之前将密封</w:t>
      </w:r>
      <w:r>
        <w:rPr>
          <w:rFonts w:hint="eastAsia" w:ascii="宋体" w:hAnsi="宋体"/>
          <w:color w:val="auto"/>
          <w:sz w:val="32"/>
          <w:szCs w:val="28"/>
          <w:lang w:eastAsia="zh-CN"/>
        </w:rPr>
        <w:t>并加盖骑缝章</w:t>
      </w:r>
      <w:r>
        <w:rPr>
          <w:rFonts w:hint="eastAsia" w:ascii="宋体" w:hAnsi="宋体" w:eastAsia="宋体"/>
          <w:color w:val="auto"/>
          <w:sz w:val="32"/>
          <w:szCs w:val="28"/>
        </w:rPr>
        <w:t>(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pacing w:val="-6"/>
          <w:sz w:val="32"/>
          <w:szCs w:val="28"/>
        </w:rPr>
        <w:t>人代表身份证及</w:t>
      </w:r>
      <w:r>
        <w:rPr>
          <w:rFonts w:hint="eastAsia" w:ascii="宋体" w:hAnsi="宋体" w:eastAsia="宋体" w:cs="Arial"/>
          <w:color w:val="auto"/>
          <w:spacing w:val="-6"/>
          <w:kern w:val="0"/>
          <w:sz w:val="32"/>
          <w:szCs w:val="28"/>
        </w:rPr>
        <w:t>法定代表人授权书</w:t>
      </w:r>
      <w:r>
        <w:rPr>
          <w:rFonts w:hint="eastAsia" w:ascii="宋体" w:hAnsi="宋体" w:cs="Arial"/>
          <w:color w:val="auto"/>
          <w:spacing w:val="-6"/>
          <w:kern w:val="0"/>
          <w:sz w:val="32"/>
          <w:szCs w:val="28"/>
          <w:lang w:eastAsia="zh-CN"/>
        </w:rPr>
        <w:t>不密封</w:t>
      </w:r>
      <w:r>
        <w:rPr>
          <w:rFonts w:hint="eastAsia" w:ascii="宋体" w:hAnsi="宋体" w:eastAsia="宋体" w:cs="Arial"/>
          <w:color w:val="auto"/>
          <w:spacing w:val="-6"/>
          <w:kern w:val="0"/>
          <w:sz w:val="32"/>
          <w:szCs w:val="28"/>
        </w:rPr>
        <w:t>）</w:t>
      </w:r>
      <w:r>
        <w:rPr>
          <w:rFonts w:hint="eastAsia" w:ascii="宋体" w:hAnsi="宋体" w:eastAsia="宋体"/>
          <w:color w:val="auto"/>
          <w:sz w:val="32"/>
          <w:szCs w:val="28"/>
        </w:rPr>
        <w:t>的报价文件送达福建省司法厅</w:t>
      </w:r>
      <w:r>
        <w:rPr>
          <w:rFonts w:hint="eastAsia" w:ascii="宋体" w:hAnsi="宋体" w:eastAsia="宋体"/>
          <w:color w:val="auto"/>
          <w:sz w:val="32"/>
          <w:szCs w:val="28"/>
          <w:lang w:eastAsia="zh-CN"/>
        </w:rPr>
        <w:t>并进行登记</w:t>
      </w:r>
      <w:r>
        <w:rPr>
          <w:rFonts w:hint="eastAsia" w:ascii="宋体" w:hAnsi="宋体" w:eastAsia="宋体"/>
          <w:color w:val="auto"/>
          <w:sz w:val="32"/>
          <w:szCs w:val="28"/>
        </w:rPr>
        <w:t>，逾期送达的</w:t>
      </w:r>
      <w:r>
        <w:rPr>
          <w:rFonts w:hint="eastAsia" w:ascii="宋体" w:hAnsi="宋体"/>
          <w:color w:val="auto"/>
          <w:sz w:val="32"/>
          <w:szCs w:val="28"/>
          <w:lang w:eastAsia="zh-CN"/>
        </w:rPr>
        <w:t>或未登记的</w:t>
      </w:r>
      <w:r>
        <w:rPr>
          <w:rFonts w:hint="eastAsia" w:ascii="宋体" w:hAnsi="宋体" w:eastAsia="宋体"/>
          <w:color w:val="auto"/>
          <w:sz w:val="32"/>
          <w:szCs w:val="28"/>
        </w:rPr>
        <w:t>或不符合规定的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z w:val="32"/>
          <w:szCs w:val="28"/>
        </w:rPr>
        <w:t>文件将</w:t>
      </w:r>
      <w:r>
        <w:rPr>
          <w:rFonts w:hint="eastAsia" w:ascii="宋体" w:hAnsi="宋体" w:eastAsia="宋体"/>
          <w:color w:val="auto"/>
          <w:sz w:val="32"/>
          <w:szCs w:val="28"/>
          <w:lang w:eastAsia="zh-CN"/>
        </w:rPr>
        <w:t>不纳入比价</w:t>
      </w:r>
      <w:r>
        <w:rPr>
          <w:rFonts w:hint="eastAsia" w:ascii="宋体" w:hAnsi="宋体" w:eastAsia="宋体"/>
          <w:color w:val="auto"/>
          <w:sz w:val="32"/>
          <w:szCs w:val="28"/>
        </w:rPr>
        <w:t>。</w:t>
      </w:r>
    </w:p>
    <w:p>
      <w:pPr>
        <w:spacing w:line="560" w:lineRule="exact"/>
        <w:rPr>
          <w:rFonts w:hint="eastAsia" w:ascii="宋体" w:hAnsi="宋体" w:eastAsia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28"/>
        </w:rPr>
        <w:t xml:space="preserve">    四、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z w:val="32"/>
          <w:szCs w:val="28"/>
        </w:rPr>
        <w:t>要求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28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z w:val="32"/>
          <w:szCs w:val="28"/>
        </w:rPr>
        <w:t>人在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z w:val="32"/>
          <w:szCs w:val="28"/>
        </w:rPr>
        <w:t>文件中需附相关资质证明、企业法人营业执照、税务登记证书及组织机构代码证复印件（加盖公章）；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spacing w:val="-6"/>
          <w:kern w:val="0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28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pacing w:val="-6"/>
          <w:sz w:val="32"/>
          <w:szCs w:val="28"/>
        </w:rPr>
        <w:t>人代表需携带本人身份证及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/>
          <w:color w:val="auto"/>
          <w:spacing w:val="-6"/>
          <w:sz w:val="32"/>
          <w:szCs w:val="28"/>
        </w:rPr>
        <w:t>人</w:t>
      </w:r>
      <w:r>
        <w:rPr>
          <w:rFonts w:hint="eastAsia" w:ascii="宋体" w:hAnsi="宋体" w:eastAsia="宋体" w:cs="Arial"/>
          <w:color w:val="auto"/>
          <w:spacing w:val="-6"/>
          <w:kern w:val="0"/>
          <w:sz w:val="32"/>
          <w:szCs w:val="28"/>
        </w:rPr>
        <w:t>法定代表人授权书</w:t>
      </w:r>
      <w:r>
        <w:rPr>
          <w:rFonts w:hint="eastAsia" w:ascii="宋体" w:hAnsi="宋体" w:eastAsia="宋体"/>
          <w:color w:val="auto"/>
          <w:spacing w:val="-6"/>
          <w:sz w:val="32"/>
          <w:szCs w:val="28"/>
        </w:rPr>
        <w:t>；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3、</w:t>
      </w:r>
      <w:r>
        <w:rPr>
          <w:rFonts w:hint="eastAsia" w:ascii="宋体" w:hAnsi="宋体" w:eastAsia="宋体" w:cs="宋体"/>
          <w:color w:val="auto"/>
          <w:kern w:val="0"/>
          <w:sz w:val="32"/>
          <w:szCs w:val="28"/>
        </w:rPr>
        <w:t>报价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文件份数：一式</w:t>
      </w:r>
      <w:r>
        <w:rPr>
          <w:rFonts w:hint="eastAsia" w:ascii="宋体" w:hAnsi="宋体" w:cs="Arial"/>
          <w:color w:val="auto"/>
          <w:kern w:val="0"/>
          <w:sz w:val="32"/>
          <w:szCs w:val="28"/>
          <w:lang w:eastAsia="zh-CN"/>
        </w:rPr>
        <w:t>二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份；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4、报价超过预算金额的不纳入比价；；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5、对技术指标不完全响应的不纳入比价；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/>
          <w:color w:val="auto"/>
          <w:sz w:val="32"/>
          <w:szCs w:val="28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6、在同等报价的情况下，</w:t>
      </w:r>
      <w:r>
        <w:rPr>
          <w:rFonts w:hint="eastAsia" w:ascii="宋体" w:hAnsi="宋体" w:cs="Arial"/>
          <w:color w:val="auto"/>
          <w:kern w:val="0"/>
          <w:sz w:val="32"/>
          <w:szCs w:val="28"/>
          <w:lang w:val="en-US" w:eastAsia="zh-CN"/>
        </w:rPr>
        <w:t>由询价小组现场随机抽取第一候选供应商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为第一候选人。</w:t>
      </w:r>
    </w:p>
    <w:p>
      <w:pPr>
        <w:spacing w:line="560" w:lineRule="exact"/>
        <w:rPr>
          <w:rFonts w:hint="eastAsia" w:ascii="宋体" w:hAnsi="宋体" w:eastAsia="宋体"/>
          <w:color w:val="auto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28"/>
        </w:rPr>
        <w:t xml:space="preserve">     7、报价人报价应包括完成报价文件所确定的范围的全部费用。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  <w:r>
        <w:rPr>
          <w:rFonts w:hint="eastAsia" w:ascii="宋体" w:hAnsi="宋体" w:eastAsia="宋体"/>
          <w:color w:val="auto"/>
          <w:sz w:val="32"/>
          <w:szCs w:val="28"/>
        </w:rPr>
        <w:t>五、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 xml:space="preserve">联系人：陈  静 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  <w:lang w:eastAsia="zh-CN"/>
        </w:rPr>
        <w:t>高小运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 xml:space="preserve"> 联系电话：83770172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  <w:lang w:val="en-US" w:eastAsia="zh-CN"/>
        </w:rPr>
        <w:t xml:space="preserve"> 83770171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 xml:space="preserve">   比价现场监督人员：</w:t>
      </w:r>
      <w:r>
        <w:rPr>
          <w:rFonts w:hint="eastAsia" w:ascii="宋体" w:hAnsi="宋体" w:cs="Arial"/>
          <w:color w:val="auto"/>
          <w:kern w:val="0"/>
          <w:sz w:val="32"/>
          <w:szCs w:val="28"/>
          <w:lang w:eastAsia="zh-CN"/>
        </w:rPr>
        <w:t>徐德清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 xml:space="preserve">  联系电话：</w:t>
      </w:r>
      <w:r>
        <w:rPr>
          <w:rFonts w:hint="eastAsia" w:ascii="宋体" w:hAnsi="宋体" w:cs="Arial"/>
          <w:color w:val="auto"/>
          <w:kern w:val="0"/>
          <w:sz w:val="32"/>
          <w:szCs w:val="28"/>
          <w:lang w:val="en-US" w:eastAsia="zh-CN"/>
        </w:rPr>
        <w:t>83770953</w:t>
      </w:r>
      <w:r>
        <w:rPr>
          <w:rFonts w:hint="eastAsia" w:ascii="宋体" w:hAnsi="宋体" w:eastAsia="宋体" w:cs="Arial"/>
          <w:color w:val="auto"/>
          <w:kern w:val="0"/>
          <w:sz w:val="32"/>
          <w:szCs w:val="28"/>
        </w:rPr>
        <w:t>；</w:t>
      </w:r>
    </w:p>
    <w:p>
      <w:pPr>
        <w:widowControl/>
        <w:spacing w:line="540" w:lineRule="exact"/>
        <w:ind w:firstLine="960" w:firstLineChars="300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  <w:lang w:val="en-US" w:eastAsia="zh-CN"/>
        </w:rPr>
      </w:pPr>
      <w:r>
        <w:rPr>
          <w:rFonts w:hint="eastAsia" w:ascii="宋体" w:hAnsi="宋体" w:cs="Arial"/>
          <w:color w:val="auto"/>
          <w:kern w:val="0"/>
          <w:sz w:val="32"/>
          <w:szCs w:val="28"/>
          <w:lang w:val="en-US" w:eastAsia="zh-CN"/>
        </w:rPr>
        <w:t>附件：福建省厅机关档案库房改造采购清单</w:t>
      </w: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</w:p>
    <w:p>
      <w:pPr>
        <w:widowControl/>
        <w:spacing w:line="540" w:lineRule="exact"/>
        <w:ind w:firstLine="822" w:firstLineChars="257"/>
        <w:jc w:val="left"/>
        <w:rPr>
          <w:rFonts w:hint="eastAsia" w:ascii="宋体" w:hAnsi="宋体" w:eastAsia="宋体" w:cs="Arial"/>
          <w:color w:val="auto"/>
          <w:kern w:val="0"/>
          <w:sz w:val="32"/>
          <w:szCs w:val="28"/>
        </w:rPr>
      </w:pPr>
    </w:p>
    <w:p>
      <w:pPr>
        <w:spacing w:line="560" w:lineRule="exact"/>
        <w:rPr>
          <w:rFonts w:hint="eastAsia" w:ascii="宋体" w:hAnsi="宋体" w:eastAsia="宋体"/>
          <w:bCs/>
          <w:color w:val="auto"/>
          <w:sz w:val="32"/>
        </w:rPr>
      </w:pPr>
      <w:r>
        <w:rPr>
          <w:rFonts w:hint="eastAsia" w:ascii="宋体" w:hAnsi="宋体" w:eastAsia="宋体"/>
          <w:bCs/>
          <w:color w:val="auto"/>
          <w:sz w:val="32"/>
        </w:rPr>
        <w:t xml:space="preserve">                                 20</w:t>
      </w:r>
      <w:r>
        <w:rPr>
          <w:rFonts w:hint="eastAsia" w:ascii="宋体" w:hAnsi="宋体"/>
          <w:bCs/>
          <w:color w:val="auto"/>
          <w:sz w:val="32"/>
          <w:lang w:val="en-US" w:eastAsia="zh-CN"/>
        </w:rPr>
        <w:t>20</w:t>
      </w:r>
      <w:r>
        <w:rPr>
          <w:rFonts w:hint="eastAsia" w:ascii="宋体" w:hAnsi="宋体" w:eastAsia="宋体"/>
          <w:bCs/>
          <w:color w:val="auto"/>
          <w:sz w:val="32"/>
        </w:rPr>
        <w:t>年</w:t>
      </w:r>
      <w:r>
        <w:rPr>
          <w:rFonts w:hint="eastAsia" w:ascii="宋体" w:hAnsi="宋体"/>
          <w:bCs/>
          <w:color w:val="auto"/>
          <w:sz w:val="32"/>
          <w:lang w:val="en-US" w:eastAsia="zh-CN"/>
        </w:rPr>
        <w:t>4</w:t>
      </w:r>
      <w:r>
        <w:rPr>
          <w:rFonts w:hint="eastAsia" w:ascii="宋体" w:hAnsi="宋体" w:eastAsia="宋体"/>
          <w:bCs/>
          <w:color w:val="auto"/>
          <w:sz w:val="32"/>
        </w:rPr>
        <w:t>月</w:t>
      </w:r>
      <w:r>
        <w:rPr>
          <w:rFonts w:hint="eastAsia" w:ascii="宋体" w:hAnsi="宋体"/>
          <w:bCs/>
          <w:color w:val="auto"/>
          <w:sz w:val="32"/>
          <w:lang w:val="en-US" w:eastAsia="zh-CN"/>
        </w:rPr>
        <w:t>26</w:t>
      </w:r>
      <w:r>
        <w:rPr>
          <w:rFonts w:hint="eastAsia" w:ascii="宋体" w:hAnsi="宋体" w:eastAsia="宋体"/>
          <w:bCs/>
          <w:color w:val="auto"/>
          <w:sz w:val="32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632"/>
        <w:gridCol w:w="1932"/>
        <w:gridCol w:w="2232"/>
        <w:gridCol w:w="797"/>
        <w:gridCol w:w="504"/>
        <w:gridCol w:w="564"/>
        <w:gridCol w:w="858"/>
        <w:gridCol w:w="1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福建省司法厅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档案室库房改造采购清单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(包一）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单位：人民币元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库房视频监控项目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设备材料名称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一、前端部分（共16路监控图像）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库房及走廊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00万高清枪式摄像机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DS-2CD2T86FWDV2-I3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具有不小于1/2"靶面尺寸。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最低照度彩色不大于0.001 lx，黑白不大于0.0001 lx，最大亮度鉴别等级不小于11级。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照度适应范围 大于120dB。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红外补光距离不小于100米。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 支持双码流技术，主码流分辨率不小于3840x2160@25fps，子码流不小于640x480@25fps。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设备水平中心分辨力不小于2000TVL。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支持H.264、H.265、MJPEG视频编码格式，且具有High Profile编码能力。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信噪比不小于60dB。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 具有大于120分的宽动态能力。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摄像机能够在-40~70摄氏度，湿度小于93%环境下稳定工作。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 支持IP67防尘防水。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设备与客户端之间用200米网线进行传输，数据包丢包率不大于0.1%。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 在丢包率设置为25%的网络环境下，可正常显示监视画面。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 同一场景相同图像质量下，将设备视频编解码格式设置为H.265，开启智能功能与未开启智能功能相比，码率可节约1/2。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Style w:val="4"/>
                <w:lang w:val="en-US" w:eastAsia="zh-CN" w:bidi="ar"/>
              </w:rPr>
              <w:t>万高清半球摄像机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DS-2CD2386FWDV2-I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★具有不小于1/1.8"靶面尺寸。）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最低照度彩色不大于0.001 lx，黑白不大于0.0005 lx，最大亮度鉴别等级不小于11级。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照度适应范围 大于120dB。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红外补光距离不小于80米。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 支持双码流技术，主码流分辨率不小于3840x2160@25fps，子码流不小于640x480@25fps。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设备水平中心分辨力不小于2000TVL。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支持H.264、H.265、MJPEG视频编码格式，且具有High Profile编码能力。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信噪比不小于60dB。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 具有大于120分的宽动态能力。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摄像机能够在-40~70摄氏度，湿度小于93%环境下稳定工作。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 支持IP67防尘防水。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设备与客户端之间用200米网线进行传输，数据包丢包率不大于0.1%。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 在丢包率设置为25%的网络环境下，可正常显示监视画面。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 同一场景相同图像质量下，将设备视频编解码格式设置为H.265，开启智能功能与未开启智能功能相比，码率可节约1/2。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</w:t>
            </w:r>
            <w:r>
              <w:rPr>
                <w:rStyle w:val="4"/>
                <w:lang w:val="en-US" w:eastAsia="zh-CN" w:bidi="ar"/>
              </w:rPr>
              <w:t>S-1292ZJ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壁装支架/白/铝合金/尺寸70×97.1×173.4mm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24口千兆交换机(POE）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S1720-28GWR-PWR-4TP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24个10/100/1000Base-T以太网端口，4个千兆SFP，2个复用的10/100/1000Base-T以太网端口Combo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6U机柜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6U机柜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6U/600*450*350/ZL-6406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二、终端存储部分(满足监控录像至少30天，留有冗余，方便后期扩展。）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32路8盘位NVR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DS-8632N-K8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支持报警输入触发一键撤防功能，撤防的报警类型可选（弹出报警画面、声音警告、上传中心、发送邮件、触发报警输出）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支持密码安全,密码错误次数超过7次，锁定账号；设备密码定期提示修改、删除；支持密码复杂度等级显示；设备密码不允许明文显示和拷贝操作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支持激活和重置，出厂设备 要激活；管理员密码重置 要安全码验证，支持通过安全问题恢复密码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支持实时查看设备状态，包括CPU使用率、内存使用率、CPU温度、机箱温度、风扇转速等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支持快速浏览，录像回放中，拖动进度条可快速浏览视频画面，可通过鼠标移动快慢来控制视频播放速度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 支持智能后检索回放功能：接入支持智能后检索功能的IPC，录像回放时，可设置移动侦测区域、越界/区域入侵区域并进行检索，可自动跳过未触发设定规则的录像，只播放触发规则的录像，并且播放速度可设置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 支持对任一录像文件打标签，单个文件最大支持1024个标签，设备可添加的标签个数不少于8192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 可接入支持ONVIF协议、RTSP协议、GB/T28181协议的设备，可通过私有协议方式接入第三方摄像机，可一键激活并添加局域网内IPC；可通过onvif接入H.265编码相机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 支持10T容量的SATA接口硬盘；支持硬盘热插拔和休眠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 支持检索与回放，进入录像回放界面，设备自动检索出关联通道录像并以日历形式展示出录像分布情况，并自动回放当天录像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 支持按帧浏览，录像回放中，可通过鼠标滚轮控制浏览视频的单帧画面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 支持自定义组合条件检索， 支持按通道、时间、标签、文件状态（解锁/锁定）、事件类型任意组合条件进行检索录像文件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 支持弹幕显示，录像回放时，当播放至有录像标签时间点时，可在画面上自动叠加显示标签内容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 支持接入云台，并可以通过本地GUI或者客户端软件实现云台的8个方向的转动、变倍、聚焦、巡航功能、预置点的设置与调用等功能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 可支持最大接入总带宽640Mbps的32路H.265编码、1080p格式的视频图像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 可接入H.265、H.264、MPEG4、smart265、smart264视频编码格式的IPC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 支持对重要的数据能够进行备份，可按移动侦测、外部输入报警、智能侦测等事件类型进行数据备份，将录像文件或者图片保存至USB设备（U盘、移动硬盘）、eSATA盘、DVD刻录机等存储设备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 可设置定时抓图、移动侦测抓图、报警抓图、移动侦测且报警抓图、智能侦测抓图、手动抓图，可进行32路抓拍并存储1080P格式的图片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 支持对任一录像文件加锁、解锁，只有解锁后才可被覆盖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 支持系统备份功能，检测到一个系统异常时，可从另一个系统启动，并恢复异常系统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 支持8个SATA接口，至少支持2个USB2.0，1个USB3.0接口；支持16路报警输入，4路报警输出接口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监控主屏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DS-D5055FC/FL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55寸工业级监控显示终端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监控级硬盘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T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3.5英寸 6TB IntelliPower 64M SATA3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2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三、管线部分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六类非屏蔽双绞线缆 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</w:t>
            </w:r>
            <w:r>
              <w:rPr>
                <w:rStyle w:val="4"/>
                <w:lang w:val="en-US" w:eastAsia="zh-CN" w:bidi="ar"/>
              </w:rPr>
              <w:t>6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UTP</w:t>
            </w:r>
            <w:r>
              <w:rPr>
                <w:rStyle w:val="4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北讯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施工调试费</w:t>
            </w:r>
          </w:p>
        </w:tc>
        <w:tc>
          <w:tcPr>
            <w:tcW w:w="68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含材料（线管等）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210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福建省司法厅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档案室库房改造采购清单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(包二）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一、消防灭火超干细粉设备项目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设备材料名称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悬挂式超干细粉灭火器（含设备）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8kg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螺杆加工（支撑杆）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both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25*1200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吊环螺钉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上端膨胀螺丝及固定片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喷淋管道系统改造（堵头、三通、卡箍）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二氧化碳灭火器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3kg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安装工本费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210" w:type="dxa"/>
            <w:gridSpan w:val="9"/>
            <w:tcBorders>
              <w:top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、档案库房除湿设备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1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除湿机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SJ-1381E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除湿量138L/天；额定功率：1200W；制冷剂：R22/1000g；湿度调节范围：40%-80%；排水方式：软管连续排水；风速调节：高/低档；功能要求：压缩机三分钟自动延时保护，微电脑精确控制除湿，LED智能控制面板，环境湿度数码显示，故障代码提示功能，自动除霜，涡轮风道系统，定时关机功能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松井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85EED"/>
    <w:rsid w:val="13E1316E"/>
    <w:rsid w:val="195671EE"/>
    <w:rsid w:val="2286021C"/>
    <w:rsid w:val="30385EED"/>
    <w:rsid w:val="32DF30D3"/>
    <w:rsid w:val="3A2E7553"/>
    <w:rsid w:val="3A41482B"/>
    <w:rsid w:val="5F8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2020-04-24T07:39:00Z</dcterms:created>
  <dc:creator>陈静</dc:creator>
  <cp:lastModifiedBy>陈静</cp:lastModifiedBy>
  <cp:lastPrinted>2020-04-24T08:22:00Z</cp:lastPrinted>
  <dcterms:modified xsi:type="dcterms:W3CDTF">2020-04-26T07:13:23Z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